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3A947E82"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044F46" w:rsidRPr="00044F46">
        <w:t>96</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516978">
        <w:rPr>
          <w:sz w:val="32"/>
          <w:szCs w:val="32"/>
        </w:rPr>
        <w:t>1</w:t>
      </w:r>
      <w:r w:rsidR="00044F46" w:rsidRPr="00516978">
        <w:rPr>
          <w:sz w:val="32"/>
          <w:szCs w:val="32"/>
        </w:rPr>
        <w:t>9</w:t>
      </w:r>
      <w:r w:rsidR="00516978" w:rsidRPr="00516978">
        <w:rPr>
          <w:sz w:val="32"/>
          <w:szCs w:val="32"/>
        </w:rPr>
        <w:t>03122</w:t>
      </w:r>
    </w:p>
    <w:p w14:paraId="520B4285" w14:textId="73ADC853" w:rsidR="00E90E49" w:rsidRPr="00CE0424" w:rsidRDefault="00044F46" w:rsidP="00311702">
      <w:pPr>
        <w:pStyle w:val="3GPPHeader"/>
      </w:pPr>
      <w:r w:rsidRPr="00044F46">
        <w:t>Athens, Greece, February 25</w:t>
      </w:r>
      <w:r w:rsidRPr="00044F46">
        <w:rPr>
          <w:vertAlign w:val="superscript"/>
        </w:rPr>
        <w:t>th</w:t>
      </w:r>
      <w:r w:rsidRPr="00044F46">
        <w:t xml:space="preserve"> – March 1</w:t>
      </w:r>
      <w:r w:rsidRPr="00044F46">
        <w:rPr>
          <w:vertAlign w:val="superscript"/>
        </w:rPr>
        <w:t>st</w:t>
      </w:r>
      <w:r w:rsidRPr="00044F46">
        <w:t>, 2019</w:t>
      </w:r>
    </w:p>
    <w:p w14:paraId="1503BF16" w14:textId="77777777" w:rsidR="00E90E49" w:rsidRPr="00CE0424" w:rsidRDefault="00E90E49" w:rsidP="00357380">
      <w:pPr>
        <w:pStyle w:val="3GPPHeader"/>
      </w:pPr>
    </w:p>
    <w:p w14:paraId="4BC66F81" w14:textId="1FFB7DE6" w:rsidR="00E90E49" w:rsidRPr="00DC7DD3" w:rsidRDefault="00E90E49" w:rsidP="00311702">
      <w:pPr>
        <w:pStyle w:val="3GPPHeader"/>
        <w:rPr>
          <w:sz w:val="22"/>
          <w:szCs w:val="22"/>
          <w:lang w:val="en-US"/>
        </w:rPr>
      </w:pPr>
      <w:r w:rsidRPr="00DC7DD3">
        <w:rPr>
          <w:sz w:val="22"/>
          <w:szCs w:val="22"/>
          <w:lang w:val="en-US"/>
        </w:rPr>
        <w:t>Agenda Item:</w:t>
      </w:r>
      <w:r w:rsidRPr="00DC7DD3">
        <w:rPr>
          <w:sz w:val="22"/>
          <w:szCs w:val="22"/>
          <w:lang w:val="en-US"/>
        </w:rPr>
        <w:tab/>
      </w:r>
      <w:r w:rsidR="00DC7DD3" w:rsidRPr="00DC7DD3">
        <w:rPr>
          <w:sz w:val="22"/>
          <w:szCs w:val="22"/>
          <w:lang w:val="en-US"/>
        </w:rPr>
        <w:t>7.2.11</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674A4733" w:rsidR="00E90E49" w:rsidRPr="00CE0424" w:rsidRDefault="003D3C45" w:rsidP="00311702">
      <w:pPr>
        <w:pStyle w:val="3GPPHeader"/>
        <w:rPr>
          <w:sz w:val="22"/>
          <w:szCs w:val="22"/>
        </w:rPr>
      </w:pPr>
      <w:r>
        <w:rPr>
          <w:sz w:val="22"/>
          <w:szCs w:val="22"/>
        </w:rPr>
        <w:t>Title:</w:t>
      </w:r>
      <w:r w:rsidR="00E90E49" w:rsidRPr="00CE0424">
        <w:rPr>
          <w:sz w:val="22"/>
          <w:szCs w:val="22"/>
        </w:rPr>
        <w:tab/>
      </w:r>
      <w:r w:rsidR="00B24009" w:rsidRPr="00895C7A">
        <w:rPr>
          <w:sz w:val="22"/>
          <w:szCs w:val="22"/>
        </w:rPr>
        <w:t>Further discussion on channel modelling for the Indoor industrial scenario</w:t>
      </w:r>
    </w:p>
    <w:p w14:paraId="1B3B5CE0" w14:textId="3C8BBFBC" w:rsidR="00E90E49" w:rsidRPr="00044F46" w:rsidRDefault="00E90E49" w:rsidP="00044F46">
      <w:pPr>
        <w:pStyle w:val="3GPPHeader"/>
        <w:rPr>
          <w:sz w:val="22"/>
          <w:szCs w:val="22"/>
        </w:rPr>
      </w:pPr>
      <w:r w:rsidRPr="00CE0424">
        <w:rPr>
          <w:sz w:val="22"/>
          <w:szCs w:val="22"/>
        </w:rPr>
        <w:t xml:space="preserve">Document </w:t>
      </w:r>
      <w:r w:rsidRPr="00E5682A">
        <w:rPr>
          <w:sz w:val="22"/>
          <w:szCs w:val="22"/>
        </w:rPr>
        <w:t>for:</w:t>
      </w:r>
      <w:r w:rsidRPr="00E5682A">
        <w:rPr>
          <w:sz w:val="22"/>
          <w:szCs w:val="22"/>
        </w:rPr>
        <w:tab/>
        <w:t>Discussion</w:t>
      </w:r>
    </w:p>
    <w:p w14:paraId="4F66B7D2" w14:textId="77777777" w:rsidR="00E90E49" w:rsidRPr="00CE0424" w:rsidRDefault="00230D18" w:rsidP="00CE0424">
      <w:pPr>
        <w:pStyle w:val="Heading1"/>
      </w:pPr>
      <w:r>
        <w:t>1</w:t>
      </w:r>
      <w:r>
        <w:tab/>
      </w:r>
      <w:r w:rsidR="00E90E49" w:rsidRPr="00CE0424">
        <w:t>Introduction</w:t>
      </w:r>
    </w:p>
    <w:p w14:paraId="39FE23AF" w14:textId="0977E710" w:rsidR="00A96C94" w:rsidRDefault="00CA04E8" w:rsidP="00CE0424">
      <w:pPr>
        <w:pStyle w:val="BodyText"/>
      </w:pPr>
      <w:r>
        <w:t>In RAN1#95, we provided our initial views on channel modelling for the indoor industrial scenario</w:t>
      </w:r>
      <w:r w:rsidR="00BB4211">
        <w:t xml:space="preserve"> </w:t>
      </w:r>
      <w:r w:rsidR="00BB4211">
        <w:fldChar w:fldCharType="begin"/>
      </w:r>
      <w:r w:rsidR="00BB4211">
        <w:instrText xml:space="preserve"> REF _Ref1133648 \r \h </w:instrText>
      </w:r>
      <w:r w:rsidR="00BB4211">
        <w:fldChar w:fldCharType="separate"/>
      </w:r>
      <w:r w:rsidR="00337D0C">
        <w:t>[1]</w:t>
      </w:r>
      <w:r w:rsidR="00BB4211">
        <w:fldChar w:fldCharType="end"/>
      </w:r>
      <w:r>
        <w:t xml:space="preserve">. </w:t>
      </w:r>
      <w:r w:rsidR="00296682">
        <w:t>Following the email discussions</w:t>
      </w:r>
      <w:r w:rsidR="004174EA">
        <w:t xml:space="preserve"> on the channel model reflector </w:t>
      </w:r>
      <w:r w:rsidR="00065615">
        <w:fldChar w:fldCharType="begin"/>
      </w:r>
      <w:r w:rsidR="00065615">
        <w:instrText xml:space="preserve"> REF _Ref1133675 \r \h </w:instrText>
      </w:r>
      <w:r w:rsidR="00065615">
        <w:fldChar w:fldCharType="separate"/>
      </w:r>
      <w:r w:rsidR="00337D0C">
        <w:t>[2]</w:t>
      </w:r>
      <w:r w:rsidR="00065615">
        <w:fldChar w:fldCharType="end"/>
      </w:r>
      <w:r w:rsidR="00065615">
        <w:fldChar w:fldCharType="begin"/>
      </w:r>
      <w:r w:rsidR="00065615">
        <w:instrText xml:space="preserve"> REF _Ref1133677 \r \h </w:instrText>
      </w:r>
      <w:r w:rsidR="00065615">
        <w:fldChar w:fldCharType="separate"/>
      </w:r>
      <w:r w:rsidR="00337D0C">
        <w:t>[3]</w:t>
      </w:r>
      <w:r w:rsidR="00065615">
        <w:fldChar w:fldCharType="end"/>
      </w:r>
      <w:r w:rsidR="00065615">
        <w:fldChar w:fldCharType="begin"/>
      </w:r>
      <w:r w:rsidR="00065615">
        <w:instrText xml:space="preserve"> REF _Ref1133679 \r \h </w:instrText>
      </w:r>
      <w:r w:rsidR="00065615">
        <w:fldChar w:fldCharType="separate"/>
      </w:r>
      <w:r w:rsidR="00337D0C">
        <w:t>[4]</w:t>
      </w:r>
      <w:r w:rsidR="00065615">
        <w:fldChar w:fldCharType="end"/>
      </w:r>
      <w:r w:rsidR="004174EA">
        <w:t xml:space="preserve">, we in </w:t>
      </w:r>
      <w:r w:rsidR="00D22EE3">
        <w:t xml:space="preserve">this contribution reiterate and expand on our views of various aspects of channel modelling for the indoor industrial scenario. </w:t>
      </w:r>
    </w:p>
    <w:p w14:paraId="4240D1DF" w14:textId="77777777" w:rsidR="004000E8" w:rsidRPr="00CE0424" w:rsidRDefault="00230D18" w:rsidP="00CE0424">
      <w:pPr>
        <w:pStyle w:val="Heading1"/>
      </w:pPr>
      <w:bookmarkStart w:id="1" w:name="_Ref178064866"/>
      <w:r>
        <w:t>2</w:t>
      </w:r>
      <w:r>
        <w:tab/>
      </w:r>
      <w:r w:rsidR="004000E8" w:rsidRPr="00CE0424">
        <w:t>Discussion</w:t>
      </w:r>
      <w:bookmarkEnd w:id="1"/>
    </w:p>
    <w:p w14:paraId="2299E791" w14:textId="204DD22E" w:rsidR="00B170E1" w:rsidRDefault="00B170E1" w:rsidP="00B170E1">
      <w:pPr>
        <w:pStyle w:val="Heading2"/>
      </w:pPr>
      <w:r>
        <w:t>2.</w:t>
      </w:r>
      <w:r w:rsidR="00205AE7">
        <w:t>1</w:t>
      </w:r>
      <w:r>
        <w:tab/>
        <w:t>LOS and NLOS path loss</w:t>
      </w:r>
    </w:p>
    <w:p w14:paraId="77BCC0D4" w14:textId="6A962E2E" w:rsidR="0035384F" w:rsidRPr="00205AE7" w:rsidRDefault="00631D99" w:rsidP="00B170E1">
      <w:pPr>
        <w:pStyle w:val="BodyText"/>
        <w:rPr>
          <w:i/>
        </w:rPr>
      </w:pPr>
      <w:r w:rsidRPr="00205AE7">
        <w:rPr>
          <w:i/>
        </w:rPr>
        <w:t xml:space="preserve">Reiterate the observations from </w:t>
      </w:r>
      <w:r w:rsidR="00B12A72" w:rsidRPr="00205AE7">
        <w:rPr>
          <w:i/>
        </w:rPr>
        <w:t>the literature review, but with less emphasis on the shadowing/blocking losses and more on the path loss slopes.</w:t>
      </w:r>
      <w:r w:rsidR="00FC7079">
        <w:rPr>
          <w:i/>
        </w:rPr>
        <w:t xml:space="preserve"> Proposal: </w:t>
      </w:r>
      <w:r w:rsidR="00E765A6">
        <w:rPr>
          <w:i/>
        </w:rPr>
        <w:t>LOS and NLOS</w:t>
      </w:r>
      <w:r w:rsidR="00FC7079">
        <w:rPr>
          <w:i/>
        </w:rPr>
        <w:t xml:space="preserve"> </w:t>
      </w:r>
      <w:r w:rsidR="00E765A6">
        <w:rPr>
          <w:i/>
        </w:rPr>
        <w:t xml:space="preserve">path loss models are common for </w:t>
      </w:r>
      <w:r w:rsidR="00FC7079">
        <w:rPr>
          <w:i/>
        </w:rPr>
        <w:t>all factories?</w:t>
      </w:r>
    </w:p>
    <w:p w14:paraId="2F18D5E3" w14:textId="78DA14FE" w:rsidR="00141B88" w:rsidRDefault="00141B88" w:rsidP="00B170E1">
      <w:pPr>
        <w:pStyle w:val="BodyText"/>
      </w:pPr>
      <w:r>
        <w:t xml:space="preserve">As observed in the literature review in </w:t>
      </w:r>
      <w:r w:rsidR="00A50F2E">
        <w:fldChar w:fldCharType="begin"/>
      </w:r>
      <w:r w:rsidR="00A50F2E">
        <w:instrText xml:space="preserve"> REF _Ref1133648 \r \h </w:instrText>
      </w:r>
      <w:r w:rsidR="00A50F2E">
        <w:fldChar w:fldCharType="separate"/>
      </w:r>
      <w:r w:rsidR="00337D0C">
        <w:t>[1]</w:t>
      </w:r>
      <w:r w:rsidR="00A50F2E">
        <w:fldChar w:fldCharType="end"/>
      </w:r>
      <w:r>
        <w:t xml:space="preserve">, in LOS conditions it is very common with path loss exponents &lt; 2 due to </w:t>
      </w:r>
      <w:r w:rsidR="00A50F2E">
        <w:t xml:space="preserve">reflections from metallic objects and waveguiding along aisles. From the numerous reported measurements in the literature it should be possible to derive an average path loss model for LOS. </w:t>
      </w:r>
    </w:p>
    <w:p w14:paraId="44FEA85B" w14:textId="2264D59B" w:rsidR="007A6BA2" w:rsidRPr="00A04F49" w:rsidRDefault="007A6BA2" w:rsidP="007A6BA2">
      <w:pPr>
        <w:pStyle w:val="Proposal"/>
      </w:pPr>
      <w:bookmarkStart w:id="2" w:name="_Toc1152719"/>
      <w:r>
        <w:t>Derive a single LOS path loss model by averaging over different measurement campaign, and use this model for all sub-scenarios</w:t>
      </w:r>
      <w:bookmarkEnd w:id="2"/>
      <w:r>
        <w:t xml:space="preserve"> </w:t>
      </w:r>
    </w:p>
    <w:p w14:paraId="5937993D" w14:textId="4C0DB8CC" w:rsidR="007A6BA2" w:rsidRDefault="00BA2539" w:rsidP="00B170E1">
      <w:pPr>
        <w:pStyle w:val="BodyText"/>
      </w:pPr>
      <w:r>
        <w:t>In the same literature review</w:t>
      </w:r>
      <w:r w:rsidR="000661B8">
        <w:t xml:space="preserve"> there were numerous reports of path loss in NLOS conditions. Several reference</w:t>
      </w:r>
      <w:r w:rsidR="00000B84">
        <w:t>s</w:t>
      </w:r>
      <w:r w:rsidR="000661B8">
        <w:t xml:space="preserve"> reported that the NLOS path loss exponent </w:t>
      </w:r>
      <w:r w:rsidR="00E3679B">
        <w:t xml:space="preserve">was higher in heavy clutter factories than in light clutter factories. This appears intuitively reasonable, as </w:t>
      </w:r>
      <w:r w:rsidR="00F0778C">
        <w:t xml:space="preserve">more clutter </w:t>
      </w:r>
      <w:r w:rsidR="001A647C">
        <w:t xml:space="preserve">increases the number of potential interactions with the environment that a propagation path requires before reaching the receiver. </w:t>
      </w:r>
      <w:r w:rsidR="00CE07FB">
        <w:t xml:space="preserve">It therefore seems reasonable to </w:t>
      </w:r>
      <w:r w:rsidR="00580E32">
        <w:t xml:space="preserve">distinguish between light clutter and heavy clutter conditions in the path loss modelling. </w:t>
      </w:r>
    </w:p>
    <w:p w14:paraId="14C8A6E9" w14:textId="64E9EBF8" w:rsidR="00000B84" w:rsidRPr="00A04F49" w:rsidRDefault="00000B84" w:rsidP="00000B84">
      <w:pPr>
        <w:pStyle w:val="Proposal"/>
      </w:pPr>
      <w:bookmarkStart w:id="3" w:name="_Toc1152720"/>
      <w:r>
        <w:t>Derive separate NLOS path loss models for light clutter and heavy clutter factory halls</w:t>
      </w:r>
      <w:r w:rsidR="00580E32">
        <w:t xml:space="preserve">, e.g. by averaging </w:t>
      </w:r>
      <w:r w:rsidR="00337D0C">
        <w:t>over different corresponding measurement campaigns</w:t>
      </w:r>
      <w:r>
        <w:t>. Alternative</w:t>
      </w:r>
      <w:r w:rsidR="00CE07FB">
        <w:t>ly</w:t>
      </w:r>
      <w:r>
        <w:t>, make the path loss exponent dependent on the clutter density.</w:t>
      </w:r>
      <w:bookmarkEnd w:id="3"/>
      <w:r>
        <w:t xml:space="preserve">  </w:t>
      </w:r>
    </w:p>
    <w:p w14:paraId="4BC022B7" w14:textId="5961B78C" w:rsidR="00F63950" w:rsidRDefault="00230D18" w:rsidP="00F63950">
      <w:pPr>
        <w:pStyle w:val="Heading2"/>
      </w:pPr>
      <w:r>
        <w:t>2.</w:t>
      </w:r>
      <w:r w:rsidR="00205AE7">
        <w:t>2</w:t>
      </w:r>
      <w:r>
        <w:tab/>
      </w:r>
      <w:r w:rsidR="0041037C">
        <w:t>LOS probability</w:t>
      </w:r>
    </w:p>
    <w:p w14:paraId="0CEE8869" w14:textId="47A8B729" w:rsidR="0041037C" w:rsidRDefault="000B2006" w:rsidP="00CE0424">
      <w:pPr>
        <w:pStyle w:val="BodyText"/>
      </w:pPr>
      <w:r>
        <w:t>In</w:t>
      </w:r>
      <w:r w:rsidR="00E55EB9">
        <w:t xml:space="preserve"> </w:t>
      </w:r>
      <w:r w:rsidR="00E55EB9">
        <w:fldChar w:fldCharType="begin"/>
      </w:r>
      <w:r w:rsidR="00E55EB9">
        <w:instrText xml:space="preserve"> REF _Ref1133708 \r \h </w:instrText>
      </w:r>
      <w:r w:rsidR="00E55EB9">
        <w:fldChar w:fldCharType="separate"/>
      </w:r>
      <w:r w:rsidR="00337D0C">
        <w:t>[5]</w:t>
      </w:r>
      <w:r w:rsidR="00E55EB9">
        <w:fldChar w:fldCharType="end"/>
      </w:r>
      <w:r w:rsidR="009469BC">
        <w:t xml:space="preserve">, the LOS probability for two different industrial environments </w:t>
      </w:r>
      <w:r w:rsidR="00DD6390">
        <w:t xml:space="preserve">(“light industry” and “heavy industry”) </w:t>
      </w:r>
      <w:r w:rsidR="009469BC">
        <w:t xml:space="preserve">is determined using </w:t>
      </w:r>
      <w:r w:rsidR="009A459A">
        <w:t xml:space="preserve">ray-tracing. </w:t>
      </w:r>
      <w:r w:rsidR="00160D02">
        <w:t xml:space="preserve">In both cases, a 50x50x9 m hall was simulated with a </w:t>
      </w:r>
      <w:r w:rsidR="002550B9">
        <w:t xml:space="preserve">ceiling-mounted antenna in the </w:t>
      </w:r>
      <w:proofErr w:type="spellStart"/>
      <w:r w:rsidR="002550B9">
        <w:t>center</w:t>
      </w:r>
      <w:proofErr w:type="spellEnd"/>
      <w:r w:rsidR="002550B9">
        <w:t xml:space="preserve"> of the hall. </w:t>
      </w:r>
      <w:r w:rsidR="007A4049">
        <w:t>The resulting LOS probability functions are shown</w:t>
      </w:r>
      <w:r w:rsidR="00C15E64">
        <w:t xml:space="preserve"> in Fig 1 below. </w:t>
      </w:r>
      <w:r w:rsidR="00793ABD">
        <w:t xml:space="preserve">It appears from </w:t>
      </w:r>
      <w:r w:rsidR="00005825">
        <w:t xml:space="preserve">Fig 1 </w:t>
      </w:r>
      <w:r w:rsidR="00793ABD">
        <w:t xml:space="preserve">in </w:t>
      </w:r>
      <w:r w:rsidR="00E55EB9">
        <w:fldChar w:fldCharType="begin"/>
      </w:r>
      <w:r w:rsidR="00E55EB9">
        <w:instrText xml:space="preserve"> REF _Ref1133708 \r \h </w:instrText>
      </w:r>
      <w:r w:rsidR="00E55EB9">
        <w:fldChar w:fldCharType="separate"/>
      </w:r>
      <w:r w:rsidR="00337D0C">
        <w:t>[5]</w:t>
      </w:r>
      <w:r w:rsidR="00E55EB9">
        <w:fldChar w:fldCharType="end"/>
      </w:r>
      <w:r w:rsidR="00284A4F">
        <w:t xml:space="preserve"> </w:t>
      </w:r>
      <w:r w:rsidR="00005825">
        <w:t>that there were some internal walls which divided the factory hall in both cases</w:t>
      </w:r>
      <w:r w:rsidR="00C15E64">
        <w:t xml:space="preserve">, which may be the explanation for the drop to zero </w:t>
      </w:r>
      <w:r w:rsidR="00CC309A">
        <w:t>probability at about 35 m distance</w:t>
      </w:r>
      <w:r w:rsidR="00005825">
        <w:t xml:space="preserve">. </w:t>
      </w:r>
    </w:p>
    <w:p w14:paraId="0EFB54EC" w14:textId="5AF5A073" w:rsidR="00393077" w:rsidRDefault="00393077" w:rsidP="00CE0424">
      <w:pPr>
        <w:pStyle w:val="BodyText"/>
      </w:pPr>
    </w:p>
    <w:p w14:paraId="1C1936E5" w14:textId="30E8B716" w:rsidR="00393077" w:rsidRDefault="00393077" w:rsidP="006249BF">
      <w:pPr>
        <w:pStyle w:val="TF"/>
      </w:pPr>
      <w:r>
        <w:rPr>
          <w:noProof/>
        </w:rPr>
        <w:lastRenderedPageBreak/>
        <w:drawing>
          <wp:inline distT="0" distB="0" distL="0" distR="0" wp14:anchorId="49DCE6B9" wp14:editId="74C7CC10">
            <wp:extent cx="4572000" cy="3152775"/>
            <wp:effectExtent l="19050" t="19050" r="19050" b="285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72000" cy="3152775"/>
                    </a:xfrm>
                    <a:prstGeom prst="rect">
                      <a:avLst/>
                    </a:prstGeom>
                    <a:ln>
                      <a:solidFill>
                        <a:schemeClr val="tx1"/>
                      </a:solidFill>
                    </a:ln>
                  </pic:spPr>
                </pic:pic>
              </a:graphicData>
            </a:graphic>
          </wp:inline>
        </w:drawing>
      </w:r>
    </w:p>
    <w:p w14:paraId="6AC49AE9" w14:textId="10DB32C8" w:rsidR="00284A4F" w:rsidRDefault="006667CE" w:rsidP="006249BF">
      <w:pPr>
        <w:pStyle w:val="TH"/>
      </w:pPr>
      <w:r>
        <w:t xml:space="preserve">Figure </w:t>
      </w:r>
      <w:r w:rsidR="005C1F3B">
        <w:rPr>
          <w:noProof/>
        </w:rPr>
        <w:fldChar w:fldCharType="begin"/>
      </w:r>
      <w:r w:rsidR="005C1F3B">
        <w:rPr>
          <w:noProof/>
        </w:rPr>
        <w:instrText xml:space="preserve"> SEQ Figure \* ARABIC </w:instrText>
      </w:r>
      <w:r w:rsidR="005C1F3B">
        <w:rPr>
          <w:noProof/>
        </w:rPr>
        <w:fldChar w:fldCharType="separate"/>
      </w:r>
      <w:r w:rsidR="00337D0C">
        <w:rPr>
          <w:noProof/>
        </w:rPr>
        <w:t>1</w:t>
      </w:r>
      <w:r w:rsidR="005C1F3B">
        <w:rPr>
          <w:noProof/>
        </w:rPr>
        <w:fldChar w:fldCharType="end"/>
      </w:r>
      <w:r>
        <w:tab/>
        <w:t xml:space="preserve">LOS probability </w:t>
      </w:r>
      <w:r w:rsidR="009A1C74">
        <w:t>curves (</w:t>
      </w:r>
      <w:r w:rsidR="004A1EA5" w:rsidRPr="004A1EA5">
        <w:rPr>
          <w:lang w:val="en-US"/>
        </w:rPr>
        <w:t>repro</w:t>
      </w:r>
      <w:r w:rsidR="004A1EA5">
        <w:rPr>
          <w:lang w:val="en-US"/>
        </w:rPr>
        <w:t xml:space="preserve">duced </w:t>
      </w:r>
      <w:r w:rsidR="009A1C74">
        <w:t xml:space="preserve">from </w:t>
      </w:r>
      <w:r w:rsidR="009A1C74">
        <w:fldChar w:fldCharType="begin"/>
      </w:r>
      <w:r w:rsidR="009A1C74">
        <w:instrText xml:space="preserve"> REF _Ref1044324 \r \h </w:instrText>
      </w:r>
      <w:r w:rsidR="009A1C74">
        <w:fldChar w:fldCharType="separate"/>
      </w:r>
      <w:r w:rsidR="00337D0C">
        <w:t>[1]</w:t>
      </w:r>
      <w:r w:rsidR="009A1C74">
        <w:fldChar w:fldCharType="end"/>
      </w:r>
      <w:r w:rsidR="009A1C74">
        <w:t>)</w:t>
      </w:r>
    </w:p>
    <w:p w14:paraId="676FD740" w14:textId="785BDBF5" w:rsidR="0041037C" w:rsidRDefault="0041037C" w:rsidP="00CE0424">
      <w:pPr>
        <w:pStyle w:val="BodyText"/>
      </w:pPr>
    </w:p>
    <w:p w14:paraId="77124022" w14:textId="69B90CB8" w:rsidR="008A4446" w:rsidRDefault="008A4446" w:rsidP="00CE0424">
      <w:pPr>
        <w:pStyle w:val="BodyText"/>
      </w:pPr>
      <w:r>
        <w:t xml:space="preserve">To further investigate the LOS probability and its dependence on antenna heights and clutter, we have created a canonical scenario </w:t>
      </w:r>
      <w:r w:rsidR="00E819F4">
        <w:t xml:space="preserve">according to fig2. </w:t>
      </w:r>
      <w:r w:rsidR="00F26C4F">
        <w:t>In this scenario, the blue columns represent clutter on the factory floor</w:t>
      </w:r>
      <w:r w:rsidR="00C9306D">
        <w:t>, where we assign an occupancy rate r (0&gt;r&gt;100%)</w:t>
      </w:r>
      <w:r w:rsidR="00807CF6">
        <w:t xml:space="preserve"> </w:t>
      </w:r>
      <w:r w:rsidR="00D82DEE">
        <w:t xml:space="preserve">that </w:t>
      </w:r>
      <w:r w:rsidR="001A01BB">
        <w:t xml:space="preserve">specifies the fraction of the floor area that contains clutter </w:t>
      </w:r>
      <w:r w:rsidR="00807CF6">
        <w:t xml:space="preserve">and a clutter height range. </w:t>
      </w:r>
      <w:r w:rsidR="008805BC">
        <w:t>For the following, we have assumed that the clutter is 1 m wide and between 1-3 m high</w:t>
      </w:r>
      <w:r w:rsidR="00D60098">
        <w:t xml:space="preserve">, </w:t>
      </w:r>
      <w:proofErr w:type="spellStart"/>
      <w:r w:rsidR="00D60098">
        <w:t>h</w:t>
      </w:r>
      <w:r w:rsidR="00D60098" w:rsidRPr="00D60098">
        <w:rPr>
          <w:vertAlign w:val="subscript"/>
        </w:rPr>
        <w:t>TX</w:t>
      </w:r>
      <w:proofErr w:type="spellEnd"/>
      <w:r w:rsidR="00D60098">
        <w:t xml:space="preserve"> = 10 m and </w:t>
      </w:r>
      <w:proofErr w:type="spellStart"/>
      <w:r w:rsidR="00D60098">
        <w:t>h</w:t>
      </w:r>
      <w:r w:rsidR="00D60098" w:rsidRPr="00D60098">
        <w:rPr>
          <w:vertAlign w:val="subscript"/>
        </w:rPr>
        <w:t>RX</w:t>
      </w:r>
      <w:proofErr w:type="spellEnd"/>
      <w:r w:rsidR="00D60098">
        <w:t xml:space="preserve"> = 1.5 m</w:t>
      </w:r>
      <w:r w:rsidR="008805BC">
        <w:t xml:space="preserve">. </w:t>
      </w:r>
      <w:r w:rsidR="00171C6D">
        <w:t xml:space="preserve">The LOS probability is determined by </w:t>
      </w:r>
      <w:r w:rsidR="0032595D">
        <w:t xml:space="preserve">repeating the experiment of </w:t>
      </w:r>
      <w:r w:rsidR="00D62A2B">
        <w:t xml:space="preserve">randomly </w:t>
      </w:r>
      <w:r w:rsidR="0013208C">
        <w:t>distributing clutter</w:t>
      </w:r>
      <w:r w:rsidR="00171C6D">
        <w:t xml:space="preserve"> </w:t>
      </w:r>
      <w:r w:rsidR="0032595D">
        <w:t>according to a certain occupancy rate and averag</w:t>
      </w:r>
      <w:r w:rsidR="00497986">
        <w:t xml:space="preserve">ing the LOS state vs distance. </w:t>
      </w:r>
      <w:r w:rsidR="00B147D1">
        <w:t xml:space="preserve">The results using these parameters are shown in </w:t>
      </w:r>
      <w:r w:rsidR="00A6588D">
        <w:t>fig3.</w:t>
      </w:r>
    </w:p>
    <w:p w14:paraId="48122438" w14:textId="43B41520" w:rsidR="00E819F4" w:rsidRDefault="00CC7043" w:rsidP="006249BF">
      <w:pPr>
        <w:pStyle w:val="TF"/>
      </w:pPr>
      <w:r>
        <w:rPr>
          <w:noProof/>
        </w:rPr>
        <w:drawing>
          <wp:inline distT="0" distB="0" distL="0" distR="0" wp14:anchorId="294FC875" wp14:editId="5E1AC2E8">
            <wp:extent cx="4611364" cy="1409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23070" cy="1413278"/>
                    </a:xfrm>
                    <a:prstGeom prst="rect">
                      <a:avLst/>
                    </a:prstGeom>
                    <a:noFill/>
                  </pic:spPr>
                </pic:pic>
              </a:graphicData>
            </a:graphic>
          </wp:inline>
        </w:drawing>
      </w:r>
    </w:p>
    <w:p w14:paraId="6E9B341B" w14:textId="526D1038" w:rsidR="00CC7043" w:rsidRDefault="00F26C4F" w:rsidP="006249BF">
      <w:pPr>
        <w:pStyle w:val="TH"/>
      </w:pPr>
      <w:r>
        <w:t xml:space="preserve">Figure </w:t>
      </w:r>
      <w:r w:rsidR="005C1F3B">
        <w:rPr>
          <w:noProof/>
        </w:rPr>
        <w:fldChar w:fldCharType="begin"/>
      </w:r>
      <w:r w:rsidR="005C1F3B">
        <w:rPr>
          <w:noProof/>
        </w:rPr>
        <w:instrText xml:space="preserve"> SEQ Figure \* ARABIC </w:instrText>
      </w:r>
      <w:r w:rsidR="005C1F3B">
        <w:rPr>
          <w:noProof/>
        </w:rPr>
        <w:fldChar w:fldCharType="separate"/>
      </w:r>
      <w:r w:rsidR="00337D0C">
        <w:rPr>
          <w:noProof/>
        </w:rPr>
        <w:t>2</w:t>
      </w:r>
      <w:r w:rsidR="005C1F3B">
        <w:rPr>
          <w:noProof/>
        </w:rPr>
        <w:fldChar w:fldCharType="end"/>
      </w:r>
      <w:r>
        <w:tab/>
        <w:t>Scenario for LOS probability experiments</w:t>
      </w:r>
    </w:p>
    <w:p w14:paraId="709DBD90" w14:textId="6FF7287B" w:rsidR="00E819F4" w:rsidRDefault="00E819F4" w:rsidP="00CE0424">
      <w:pPr>
        <w:pStyle w:val="BodyText"/>
      </w:pPr>
    </w:p>
    <w:p w14:paraId="77D8E460" w14:textId="45C3262E" w:rsidR="00E0338A" w:rsidRDefault="00E0338A" w:rsidP="006249BF">
      <w:pPr>
        <w:pStyle w:val="TF"/>
      </w:pPr>
      <w:r w:rsidRPr="00E0338A">
        <w:rPr>
          <w:noProof/>
        </w:rPr>
        <w:lastRenderedPageBreak/>
        <w:drawing>
          <wp:inline distT="0" distB="0" distL="0" distR="0" wp14:anchorId="62C1D0C5" wp14:editId="08A40D04">
            <wp:extent cx="5324475" cy="399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6A9C7FBC" w14:textId="58B946AA" w:rsidR="00A6588D" w:rsidRDefault="00A6588D" w:rsidP="006249BF">
      <w:pPr>
        <w:pStyle w:val="TH"/>
      </w:pPr>
      <w:r>
        <w:t xml:space="preserve">Figure </w:t>
      </w:r>
      <w:r w:rsidR="005C1F3B">
        <w:rPr>
          <w:noProof/>
        </w:rPr>
        <w:fldChar w:fldCharType="begin"/>
      </w:r>
      <w:r w:rsidR="005C1F3B">
        <w:rPr>
          <w:noProof/>
        </w:rPr>
        <w:instrText xml:space="preserve"> SEQ Figure \* ARABIC </w:instrText>
      </w:r>
      <w:r w:rsidR="005C1F3B">
        <w:rPr>
          <w:noProof/>
        </w:rPr>
        <w:fldChar w:fldCharType="separate"/>
      </w:r>
      <w:r w:rsidR="00337D0C">
        <w:rPr>
          <w:noProof/>
        </w:rPr>
        <w:t>3</w:t>
      </w:r>
      <w:r w:rsidR="005C1F3B">
        <w:rPr>
          <w:noProof/>
        </w:rPr>
        <w:fldChar w:fldCharType="end"/>
      </w:r>
      <w:r>
        <w:tab/>
        <w:t xml:space="preserve">Empirical LOS probabilities determined for the canonical </w:t>
      </w:r>
      <w:r w:rsidR="006E64C7">
        <w:t xml:space="preserve">industrial </w:t>
      </w:r>
      <w:r>
        <w:t>scenario.</w:t>
      </w:r>
    </w:p>
    <w:p w14:paraId="2C1AA98F" w14:textId="7E535CBB" w:rsidR="00E0338A" w:rsidRDefault="00C275FE" w:rsidP="00CE0424">
      <w:pPr>
        <w:pStyle w:val="BodyText"/>
      </w:pPr>
      <w:r>
        <w:t xml:space="preserve">Based on results such as these, one can consider </w:t>
      </w:r>
      <w:r w:rsidR="00905440">
        <w:t xml:space="preserve">deriving </w:t>
      </w:r>
      <w:r w:rsidR="00B533E8">
        <w:t xml:space="preserve">an </w:t>
      </w:r>
      <w:r w:rsidR="00D81F79">
        <w:t xml:space="preserve">empirical LOS probability </w:t>
      </w:r>
      <w:r w:rsidR="00B533E8">
        <w:t>function for one or more sub-scenarios</w:t>
      </w:r>
      <w:r w:rsidR="00E85C52">
        <w:t xml:space="preserve"> such as “light” and “heavy” clutter</w:t>
      </w:r>
      <w:r w:rsidR="00B533E8">
        <w:t xml:space="preserve">. Alternatively, it might be possible to </w:t>
      </w:r>
      <w:r w:rsidR="00E85C52">
        <w:t>include the clutter density explicitly</w:t>
      </w:r>
      <w:r w:rsidR="008E43C2">
        <w:t xml:space="preserve"> through multi-parameter curve-fitting</w:t>
      </w:r>
      <w:r w:rsidR="00E85C52">
        <w:t xml:space="preserve">. </w:t>
      </w:r>
    </w:p>
    <w:p w14:paraId="238CD72E" w14:textId="10E1AF4A" w:rsidR="009B34FA" w:rsidRPr="00CE0424" w:rsidRDefault="00A07CFE" w:rsidP="009B34FA">
      <w:pPr>
        <w:pStyle w:val="Observation"/>
      </w:pPr>
      <w:bookmarkStart w:id="4" w:name="_Toc1152717"/>
      <w:r>
        <w:t>The LOS probability is strongly dependent on the clutter density in the industrial scenario</w:t>
      </w:r>
      <w:bookmarkEnd w:id="4"/>
    </w:p>
    <w:p w14:paraId="24A01520" w14:textId="2E384771" w:rsidR="00287838" w:rsidRPr="00A04F49" w:rsidRDefault="00245C74" w:rsidP="00A04F49">
      <w:pPr>
        <w:pStyle w:val="Proposal"/>
      </w:pPr>
      <w:bookmarkStart w:id="5" w:name="_Toc1152721"/>
      <w:r>
        <w:t xml:space="preserve">Derive </w:t>
      </w:r>
      <w:r w:rsidR="0000048C">
        <w:t xml:space="preserve">a </w:t>
      </w:r>
      <w:r>
        <w:t>LOS probabilit</w:t>
      </w:r>
      <w:r w:rsidR="0000048C">
        <w:t xml:space="preserve">y for one or two sub-scenarios differing in their clutter density. </w:t>
      </w:r>
      <w:r w:rsidR="00B53F0F">
        <w:t>Alternatively</w:t>
      </w:r>
      <w:r w:rsidR="0000048C">
        <w:t xml:space="preserve">, </w:t>
      </w:r>
      <w:r w:rsidR="003378CA">
        <w:t>formulate a LOS probability function with explicit dependence on the clutter density, and specify one or two typical values in the scenario description.</w:t>
      </w:r>
      <w:bookmarkEnd w:id="5"/>
      <w:r w:rsidR="003378CA">
        <w:t xml:space="preserve"> </w:t>
      </w:r>
    </w:p>
    <w:p w14:paraId="29A1C724" w14:textId="58DC9F41" w:rsidR="00F63950" w:rsidRDefault="00230D18" w:rsidP="00F63950">
      <w:pPr>
        <w:pStyle w:val="Heading2"/>
      </w:pPr>
      <w:r>
        <w:t>2.</w:t>
      </w:r>
      <w:r w:rsidR="00205AE7">
        <w:t>3</w:t>
      </w:r>
      <w:r>
        <w:tab/>
      </w:r>
      <w:r w:rsidR="00B170E1">
        <w:t>O2I penetration loss</w:t>
      </w:r>
    </w:p>
    <w:p w14:paraId="4F6FB19B" w14:textId="56B2A34B" w:rsidR="008778F2" w:rsidRDefault="001870CC" w:rsidP="00A04F49">
      <w:pPr>
        <w:pStyle w:val="BodyText"/>
      </w:pPr>
      <w:r>
        <w:t xml:space="preserve">In certain types of </w:t>
      </w:r>
      <w:r w:rsidR="003D4589">
        <w:t>evaluations,</w:t>
      </w:r>
      <w:r>
        <w:t xml:space="preserve"> it may be necessary to </w:t>
      </w:r>
      <w:r w:rsidR="003D4589">
        <w:t>consider</w:t>
      </w:r>
      <w:r>
        <w:t xml:space="preserve"> the interference into or out of a factory</w:t>
      </w:r>
      <w:r w:rsidR="003D4589">
        <w:t xml:space="preserve">. Therefore, it can be useful to specify the </w:t>
      </w:r>
      <w:r w:rsidR="000307E2">
        <w:t xml:space="preserve">external wall loss. </w:t>
      </w:r>
      <w:r w:rsidR="000012AD">
        <w:t xml:space="preserve">In the LS from 5G-ACIA </w:t>
      </w:r>
      <w:r w:rsidR="0042237B">
        <w:fldChar w:fldCharType="begin"/>
      </w:r>
      <w:r w:rsidR="0042237B">
        <w:instrText xml:space="preserve"> REF _Ref528923898 \r \h </w:instrText>
      </w:r>
      <w:r w:rsidR="0042237B">
        <w:fldChar w:fldCharType="separate"/>
      </w:r>
      <w:r w:rsidR="00337D0C">
        <w:t>[6]</w:t>
      </w:r>
      <w:r w:rsidR="0042237B">
        <w:fldChar w:fldCharType="end"/>
      </w:r>
      <w:r w:rsidR="000012AD">
        <w:t xml:space="preserve">, </w:t>
      </w:r>
      <w:r w:rsidR="00F65DFB">
        <w:t xml:space="preserve">the following guidance on the </w:t>
      </w:r>
      <w:r w:rsidR="008778F2">
        <w:t>materials used for indoor industrial facilities is given</w:t>
      </w:r>
      <w:r w:rsidR="00C11AB2">
        <w:t>:</w:t>
      </w:r>
    </w:p>
    <w:p w14:paraId="3930B630" w14:textId="3AF9D901" w:rsidR="008778F2" w:rsidRPr="008778F2" w:rsidRDefault="008778F2" w:rsidP="00A04F49">
      <w:pPr>
        <w:pStyle w:val="BodyText"/>
        <w:rPr>
          <w:i/>
          <w:lang w:val="en-US"/>
        </w:rPr>
      </w:pPr>
      <w:r w:rsidRPr="008778F2">
        <w:rPr>
          <w:i/>
          <w:lang w:val="en-US"/>
        </w:rPr>
        <w:t>“The facilities can be considered to be built of concrete walls and ceiling, glass windows (if any) are considered to be metal-coated for heat and direct sunlight protection.”</w:t>
      </w:r>
    </w:p>
    <w:p w14:paraId="77612EA0" w14:textId="6FEB1C0E" w:rsidR="001870CC" w:rsidRDefault="008778F2" w:rsidP="00657691">
      <w:pPr>
        <w:pStyle w:val="BodyText"/>
      </w:pPr>
      <w:r>
        <w:t xml:space="preserve">We note that the combination of </w:t>
      </w:r>
      <w:r w:rsidR="00E9205D">
        <w:t xml:space="preserve">concrete walls and metal-coated windows </w:t>
      </w:r>
      <w:r w:rsidR="00657691">
        <w:t xml:space="preserve">is well matched to the </w:t>
      </w:r>
      <w:r w:rsidR="004F5916">
        <w:t xml:space="preserve">high-loss </w:t>
      </w:r>
      <w:r w:rsidR="000012AD">
        <w:t xml:space="preserve">building penetration model </w:t>
      </w:r>
      <w:r w:rsidR="00657691">
        <w:t>that is described in TR 38.901, Table 7.4.3-2</w:t>
      </w:r>
      <w:r w:rsidR="007E0241">
        <w:t xml:space="preserve">. </w:t>
      </w:r>
      <w:r w:rsidR="006A488D">
        <w:t xml:space="preserve">Thus, for the external wall loss, it is recommended to reuse </w:t>
      </w:r>
      <w:r w:rsidR="007A58CD" w:rsidRPr="00147F39">
        <w:rPr>
          <w:position w:val="-12"/>
        </w:rPr>
        <w:object w:dxaOrig="520" w:dyaOrig="360" w14:anchorId="48D0B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8pt" o:ole="">
            <v:imagedata r:id="rId11" o:title=""/>
          </v:shape>
          <o:OLEObject Type="Embed" ProgID="Equation.3" ShapeID="_x0000_i1025" DrawAspect="Content" ObjectID="_1611765625" r:id="rId12"/>
        </w:object>
      </w:r>
      <w:r w:rsidR="007A58CD">
        <w:t xml:space="preserve"> and </w:t>
      </w:r>
      <w:proofErr w:type="spellStart"/>
      <w:r w:rsidR="00440011" w:rsidRPr="00147F39">
        <w:rPr>
          <w:lang w:eastAsia="ja-JP"/>
        </w:rPr>
        <w:t>σ</w:t>
      </w:r>
      <w:r w:rsidR="00440011" w:rsidRPr="00147F39">
        <w:rPr>
          <w:i/>
          <w:szCs w:val="18"/>
          <w:vertAlign w:val="subscript"/>
        </w:rPr>
        <w:t>P</w:t>
      </w:r>
      <w:proofErr w:type="spellEnd"/>
      <w:r w:rsidR="00440011">
        <w:t xml:space="preserve"> from </w:t>
      </w:r>
      <w:r w:rsidR="006A488D">
        <w:t xml:space="preserve">the high-loss model. </w:t>
      </w:r>
      <w:r w:rsidR="00D77C2C">
        <w:t xml:space="preserve">The indoor loss part, if needed, may require further study. </w:t>
      </w:r>
    </w:p>
    <w:p w14:paraId="0DE42911" w14:textId="3382C705" w:rsidR="00D77C2C" w:rsidRPr="00A04F49" w:rsidRDefault="002225AD" w:rsidP="00D77C2C">
      <w:pPr>
        <w:pStyle w:val="Proposal"/>
      </w:pPr>
      <w:bookmarkStart w:id="6" w:name="_Toc1152722"/>
      <w:r>
        <w:t xml:space="preserve">For </w:t>
      </w:r>
      <w:r w:rsidR="00F05A1E">
        <w:t>O2I penetration loss in the industrial scenario</w:t>
      </w:r>
      <w:r>
        <w:t xml:space="preserve">, use </w:t>
      </w:r>
      <w:r w:rsidRPr="00147F39">
        <w:rPr>
          <w:position w:val="-12"/>
        </w:rPr>
        <w:object w:dxaOrig="520" w:dyaOrig="360" w14:anchorId="447EAB04">
          <v:shape id="_x0000_i1026" type="#_x0000_t75" style="width:26.25pt;height:18pt" o:ole="">
            <v:imagedata r:id="rId11" o:title=""/>
          </v:shape>
          <o:OLEObject Type="Embed" ProgID="Equation.3" ShapeID="_x0000_i1026" DrawAspect="Content" ObjectID="_1611765626" r:id="rId13"/>
        </w:object>
      </w:r>
      <w:r>
        <w:t xml:space="preserve"> and </w:t>
      </w:r>
      <w:proofErr w:type="spellStart"/>
      <w:r w:rsidRPr="00147F39">
        <w:rPr>
          <w:lang w:eastAsia="ja-JP"/>
        </w:rPr>
        <w:t>σ</w:t>
      </w:r>
      <w:r w:rsidRPr="00147F39">
        <w:rPr>
          <w:i/>
          <w:szCs w:val="18"/>
          <w:vertAlign w:val="subscript"/>
        </w:rPr>
        <w:t>P</w:t>
      </w:r>
      <w:proofErr w:type="spellEnd"/>
      <w:r>
        <w:t xml:space="preserve"> from the high-loss model that already exists in TR 38.901</w:t>
      </w:r>
      <w:r w:rsidR="00F05A1E">
        <w:t>.</w:t>
      </w:r>
      <w:bookmarkEnd w:id="6"/>
      <w:r>
        <w:t xml:space="preserve"> </w:t>
      </w:r>
    </w:p>
    <w:p w14:paraId="2F4DFB12" w14:textId="77777777" w:rsidR="007E0241" w:rsidRDefault="007E0241" w:rsidP="00A04F49">
      <w:pPr>
        <w:pStyle w:val="BodyText"/>
      </w:pPr>
    </w:p>
    <w:p w14:paraId="364C755D" w14:textId="77777777" w:rsidR="007E0241" w:rsidRDefault="007E0241" w:rsidP="00A04F49">
      <w:pPr>
        <w:pStyle w:val="BodyText"/>
      </w:pPr>
    </w:p>
    <w:p w14:paraId="39FB6756" w14:textId="1849D86C" w:rsidR="00F63950" w:rsidRPr="00516978" w:rsidRDefault="00230D18" w:rsidP="00F63950">
      <w:pPr>
        <w:pStyle w:val="Heading2"/>
        <w:rPr>
          <w:lang w:val="en-US"/>
        </w:rPr>
      </w:pPr>
      <w:r w:rsidRPr="00516978">
        <w:rPr>
          <w:lang w:val="en-US"/>
        </w:rPr>
        <w:lastRenderedPageBreak/>
        <w:t>2.</w:t>
      </w:r>
      <w:r w:rsidR="00205AE7">
        <w:rPr>
          <w:lang w:val="en-US"/>
        </w:rPr>
        <w:t>4</w:t>
      </w:r>
      <w:r w:rsidRPr="00516978">
        <w:rPr>
          <w:lang w:val="en-US"/>
        </w:rPr>
        <w:tab/>
      </w:r>
      <w:r w:rsidR="0031354B" w:rsidRPr="00516978">
        <w:rPr>
          <w:lang w:val="en-US"/>
        </w:rPr>
        <w:t>Fast fading modelling and parameters</w:t>
      </w:r>
    </w:p>
    <w:p w14:paraId="4D08577E" w14:textId="25202D0B" w:rsidR="00AA1A91" w:rsidRDefault="00AA1A91" w:rsidP="00A04F49">
      <w:pPr>
        <w:pStyle w:val="BodyText"/>
        <w:rPr>
          <w:lang w:val="en-US"/>
        </w:rPr>
      </w:pPr>
      <w:r>
        <w:rPr>
          <w:lang w:val="en-US"/>
        </w:rPr>
        <w:t>As</w:t>
      </w:r>
      <w:r w:rsidR="008461E0">
        <w:rPr>
          <w:lang w:val="en-US"/>
        </w:rPr>
        <w:t xml:space="preserve"> reported in </w:t>
      </w:r>
      <w:r w:rsidR="00584F8F">
        <w:rPr>
          <w:lang w:val="en-US"/>
        </w:rPr>
        <w:fldChar w:fldCharType="begin"/>
      </w:r>
      <w:r w:rsidR="00584F8F">
        <w:rPr>
          <w:lang w:val="en-US"/>
        </w:rPr>
        <w:instrText xml:space="preserve"> REF _Ref1133648 \r \h </w:instrText>
      </w:r>
      <w:r w:rsidR="00584F8F">
        <w:rPr>
          <w:lang w:val="en-US"/>
        </w:rPr>
      </w:r>
      <w:r w:rsidR="00584F8F">
        <w:rPr>
          <w:lang w:val="en-US"/>
        </w:rPr>
        <w:fldChar w:fldCharType="separate"/>
      </w:r>
      <w:r w:rsidR="00337D0C">
        <w:rPr>
          <w:lang w:val="en-US"/>
        </w:rPr>
        <w:t>[1]</w:t>
      </w:r>
      <w:r w:rsidR="00584F8F">
        <w:rPr>
          <w:lang w:val="en-US"/>
        </w:rPr>
        <w:fldChar w:fldCharType="end"/>
      </w:r>
      <w:r w:rsidR="008461E0">
        <w:rPr>
          <w:lang w:val="en-US"/>
        </w:rPr>
        <w:t xml:space="preserve">, in our literature survey we found </w:t>
      </w:r>
      <w:r w:rsidR="0095234F">
        <w:rPr>
          <w:lang w:val="en-US"/>
        </w:rPr>
        <w:t>many measurements of the delay spread in industrial environments</w:t>
      </w:r>
      <w:r w:rsidR="00612C49">
        <w:rPr>
          <w:lang w:val="en-US"/>
        </w:rPr>
        <w:t xml:space="preserve">, see </w:t>
      </w:r>
      <w:r w:rsidR="00612C49">
        <w:rPr>
          <w:lang w:val="en-US"/>
        </w:rPr>
        <w:fldChar w:fldCharType="begin"/>
      </w:r>
      <w:r w:rsidR="00612C49">
        <w:rPr>
          <w:lang w:val="en-US"/>
        </w:rPr>
        <w:instrText xml:space="preserve"> REF _Ref528927884 \h </w:instrText>
      </w:r>
      <w:r w:rsidR="00612C49">
        <w:rPr>
          <w:lang w:val="en-US"/>
        </w:rPr>
      </w:r>
      <w:r w:rsidR="00612C49">
        <w:rPr>
          <w:lang w:val="en-US"/>
        </w:rPr>
        <w:fldChar w:fldCharType="separate"/>
      </w:r>
      <w:r w:rsidR="00337D0C" w:rsidRPr="00D94252">
        <w:rPr>
          <w:rFonts w:cs="Arial"/>
          <w:lang w:val="en-US"/>
        </w:rPr>
        <w:t xml:space="preserve">Table </w:t>
      </w:r>
      <w:r w:rsidR="00337D0C">
        <w:rPr>
          <w:rFonts w:cs="Arial"/>
          <w:noProof/>
          <w:lang w:val="en-US"/>
        </w:rPr>
        <w:t>2</w:t>
      </w:r>
      <w:r w:rsidR="00612C49">
        <w:rPr>
          <w:lang w:val="en-US"/>
        </w:rPr>
        <w:fldChar w:fldCharType="end"/>
      </w:r>
      <w:r w:rsidR="0095234F">
        <w:rPr>
          <w:lang w:val="en-US"/>
        </w:rPr>
        <w:t xml:space="preserve">. </w:t>
      </w:r>
      <w:r w:rsidR="00480E6C">
        <w:rPr>
          <w:lang w:val="en-US"/>
        </w:rPr>
        <w:t xml:space="preserve">A clear trend </w:t>
      </w:r>
      <w:r w:rsidR="00B2125A">
        <w:rPr>
          <w:lang w:val="en-US"/>
        </w:rPr>
        <w:t xml:space="preserve">of increasing delay spread with increasing </w:t>
      </w:r>
      <w:r w:rsidR="00F0508F">
        <w:rPr>
          <w:lang w:val="en-US"/>
        </w:rPr>
        <w:t>factory hall size is observed</w:t>
      </w:r>
      <w:r w:rsidR="00B14027">
        <w:rPr>
          <w:lang w:val="en-US"/>
        </w:rPr>
        <w:t xml:space="preserve">, as shown in </w:t>
      </w:r>
      <w:r w:rsidR="00E86D92">
        <w:rPr>
          <w:lang w:val="en-US"/>
        </w:rPr>
        <w:fldChar w:fldCharType="begin"/>
      </w:r>
      <w:r w:rsidR="00E86D92">
        <w:rPr>
          <w:lang w:val="en-US"/>
        </w:rPr>
        <w:instrText xml:space="preserve"> REF _Ref1129323 \h </w:instrText>
      </w:r>
      <w:r w:rsidR="00E86D92">
        <w:rPr>
          <w:lang w:val="en-US"/>
        </w:rPr>
      </w:r>
      <w:r w:rsidR="00E86D92">
        <w:rPr>
          <w:lang w:val="en-US"/>
        </w:rPr>
        <w:fldChar w:fldCharType="separate"/>
      </w:r>
      <w:r w:rsidR="00337D0C">
        <w:t xml:space="preserve">Figure </w:t>
      </w:r>
      <w:r w:rsidR="00337D0C">
        <w:rPr>
          <w:noProof/>
        </w:rPr>
        <w:t>4</w:t>
      </w:r>
      <w:r w:rsidR="00E86D92">
        <w:rPr>
          <w:lang w:val="en-US"/>
        </w:rPr>
        <w:fldChar w:fldCharType="end"/>
      </w:r>
      <w:r w:rsidR="000759C7">
        <w:rPr>
          <w:lang w:val="en-US"/>
        </w:rPr>
        <w:t>.</w:t>
      </w:r>
      <w:r w:rsidR="00572141">
        <w:rPr>
          <w:lang w:val="en-US"/>
        </w:rPr>
        <w:t xml:space="preserve"> </w:t>
      </w:r>
      <w:r w:rsidR="00612C49">
        <w:rPr>
          <w:lang w:val="en-US"/>
        </w:rPr>
        <w:t xml:space="preserve">We attempt to capture this trend by introducing </w:t>
      </w:r>
      <w:r w:rsidR="00EB324A">
        <w:rPr>
          <w:lang w:val="en-US"/>
        </w:rPr>
        <w:t xml:space="preserve">a dependency for </w:t>
      </w:r>
      <w:r w:rsidR="00557E7C">
        <w:rPr>
          <w:rFonts w:ascii="Symbol" w:hAnsi="Symbol"/>
          <w:i/>
          <w:szCs w:val="18"/>
        </w:rPr>
        <w:t></w:t>
      </w:r>
      <w:proofErr w:type="spellStart"/>
      <w:r w:rsidR="00557E7C">
        <w:rPr>
          <w:szCs w:val="18"/>
          <w:vertAlign w:val="subscript"/>
        </w:rPr>
        <w:t>lgDS</w:t>
      </w:r>
      <w:proofErr w:type="spellEnd"/>
      <w:r w:rsidR="00557E7C">
        <w:t xml:space="preserve"> </w:t>
      </w:r>
      <w:r w:rsidR="007C735C">
        <w:rPr>
          <w:lang w:val="en-US"/>
        </w:rPr>
        <w:t xml:space="preserve">on the </w:t>
      </w:r>
      <w:r w:rsidR="00557E7C">
        <w:rPr>
          <w:lang w:val="en-US"/>
        </w:rPr>
        <w:t xml:space="preserve">room volume according to the </w:t>
      </w:r>
      <w:r w:rsidR="00520208">
        <w:rPr>
          <w:lang w:val="en-US"/>
        </w:rPr>
        <w:t xml:space="preserve">Industrial column in </w:t>
      </w:r>
      <w:r w:rsidR="00520208">
        <w:rPr>
          <w:lang w:val="en-US"/>
        </w:rPr>
        <w:fldChar w:fldCharType="begin"/>
      </w:r>
      <w:r w:rsidR="00520208">
        <w:rPr>
          <w:lang w:val="en-US"/>
        </w:rPr>
        <w:instrText xml:space="preserve"> REF _Ref1129917 \h </w:instrText>
      </w:r>
      <w:r w:rsidR="00520208">
        <w:rPr>
          <w:lang w:val="en-US"/>
        </w:rPr>
      </w:r>
      <w:r w:rsidR="00520208">
        <w:rPr>
          <w:lang w:val="en-US"/>
        </w:rPr>
        <w:fldChar w:fldCharType="separate"/>
      </w:r>
      <w:r w:rsidR="00337D0C" w:rsidRPr="00D94252">
        <w:rPr>
          <w:rFonts w:cs="Arial"/>
          <w:lang w:val="en-US"/>
        </w:rPr>
        <w:t xml:space="preserve">Table </w:t>
      </w:r>
      <w:r w:rsidR="00337D0C">
        <w:rPr>
          <w:rFonts w:cs="Arial"/>
          <w:noProof/>
          <w:lang w:val="en-US"/>
        </w:rPr>
        <w:t>1</w:t>
      </w:r>
      <w:r w:rsidR="00520208">
        <w:rPr>
          <w:lang w:val="en-US"/>
        </w:rPr>
        <w:fldChar w:fldCharType="end"/>
      </w:r>
      <w:r w:rsidR="00520208">
        <w:rPr>
          <w:lang w:val="en-US"/>
        </w:rPr>
        <w:t xml:space="preserve">. </w:t>
      </w:r>
      <w:r w:rsidR="005E1604">
        <w:rPr>
          <w:lang w:val="en-US"/>
        </w:rPr>
        <w:t>This function has been derived such that the 99</w:t>
      </w:r>
      <w:r w:rsidR="005E1604" w:rsidRPr="005E1604">
        <w:rPr>
          <w:vertAlign w:val="superscript"/>
          <w:lang w:val="en-US"/>
        </w:rPr>
        <w:t>th</w:t>
      </w:r>
      <w:r w:rsidR="005E1604">
        <w:rPr>
          <w:lang w:val="en-US"/>
        </w:rPr>
        <w:t xml:space="preserve"> percentile </w:t>
      </w:r>
      <w:r w:rsidR="00420A59">
        <w:rPr>
          <w:lang w:val="en-US"/>
        </w:rPr>
        <w:t xml:space="preserve">of the delay spread </w:t>
      </w:r>
      <w:r w:rsidR="005E1604">
        <w:rPr>
          <w:lang w:val="en-US"/>
        </w:rPr>
        <w:t xml:space="preserve">(given by </w:t>
      </w:r>
      <w:r w:rsidR="00D233D6">
        <w:rPr>
          <w:rFonts w:ascii="Symbol" w:hAnsi="Symbol"/>
          <w:i/>
          <w:szCs w:val="18"/>
        </w:rPr>
        <w:t></w:t>
      </w:r>
      <w:proofErr w:type="spellStart"/>
      <w:r w:rsidR="00D233D6">
        <w:rPr>
          <w:szCs w:val="18"/>
          <w:vertAlign w:val="subscript"/>
        </w:rPr>
        <w:t>lgDS</w:t>
      </w:r>
      <w:proofErr w:type="spellEnd"/>
      <w:r w:rsidR="00DD200F">
        <w:rPr>
          <w:szCs w:val="18"/>
          <w:vertAlign w:val="subscript"/>
        </w:rPr>
        <w:t xml:space="preserve"> </w:t>
      </w:r>
      <w:r w:rsidR="00D233D6">
        <w:rPr>
          <w:szCs w:val="18"/>
          <w:vertAlign w:val="subscript"/>
        </w:rPr>
        <w:t>+</w:t>
      </w:r>
      <w:r w:rsidR="00DD200F">
        <w:rPr>
          <w:szCs w:val="18"/>
          <w:vertAlign w:val="subscript"/>
        </w:rPr>
        <w:t xml:space="preserve"> </w:t>
      </w:r>
      <w:r w:rsidR="00D233D6">
        <w:rPr>
          <w:szCs w:val="18"/>
          <w:vertAlign w:val="subscript"/>
        </w:rPr>
        <w:t>2.32</w:t>
      </w:r>
      <w:r w:rsidR="00D233D6">
        <w:rPr>
          <w:rFonts w:ascii="Symbol" w:hAnsi="Symbol"/>
          <w:i/>
          <w:szCs w:val="18"/>
        </w:rPr>
        <w:t></w:t>
      </w:r>
      <w:r w:rsidR="00D233D6">
        <w:rPr>
          <w:szCs w:val="18"/>
          <w:vertAlign w:val="subscript"/>
        </w:rPr>
        <w:t>lgDS</w:t>
      </w:r>
      <w:r w:rsidR="005E1604">
        <w:rPr>
          <w:lang w:val="en-US"/>
        </w:rPr>
        <w:t>)</w:t>
      </w:r>
      <w:r w:rsidR="00557E7C">
        <w:rPr>
          <w:lang w:val="en-US"/>
        </w:rPr>
        <w:t xml:space="preserve"> </w:t>
      </w:r>
      <w:r w:rsidR="0082680F">
        <w:rPr>
          <w:lang w:val="en-US"/>
        </w:rPr>
        <w:t xml:space="preserve">follows the red curve in </w:t>
      </w:r>
      <w:r w:rsidR="0082680F">
        <w:rPr>
          <w:lang w:val="en-US"/>
        </w:rPr>
        <w:fldChar w:fldCharType="begin"/>
      </w:r>
      <w:r w:rsidR="0082680F">
        <w:rPr>
          <w:lang w:val="en-US"/>
        </w:rPr>
        <w:instrText xml:space="preserve"> REF _Ref1129323 \h </w:instrText>
      </w:r>
      <w:r w:rsidR="0082680F">
        <w:rPr>
          <w:lang w:val="en-US"/>
        </w:rPr>
      </w:r>
      <w:r w:rsidR="0082680F">
        <w:rPr>
          <w:lang w:val="en-US"/>
        </w:rPr>
        <w:fldChar w:fldCharType="separate"/>
      </w:r>
      <w:r w:rsidR="00337D0C">
        <w:t xml:space="preserve">Figure </w:t>
      </w:r>
      <w:r w:rsidR="00337D0C">
        <w:rPr>
          <w:noProof/>
        </w:rPr>
        <w:t>4</w:t>
      </w:r>
      <w:r w:rsidR="0082680F">
        <w:rPr>
          <w:lang w:val="en-US"/>
        </w:rPr>
        <w:fldChar w:fldCharType="end"/>
      </w:r>
      <w:r w:rsidR="0082680F">
        <w:rPr>
          <w:lang w:val="en-US"/>
        </w:rPr>
        <w:t xml:space="preserve">, except that </w:t>
      </w:r>
      <w:r w:rsidR="00E40AA3">
        <w:rPr>
          <w:lang w:val="en-US"/>
        </w:rPr>
        <w:t>the 99</w:t>
      </w:r>
      <w:r w:rsidR="00E40AA3" w:rsidRPr="00E40AA3">
        <w:rPr>
          <w:vertAlign w:val="superscript"/>
          <w:lang w:val="en-US"/>
        </w:rPr>
        <w:t>th</w:t>
      </w:r>
      <w:r w:rsidR="00E40AA3">
        <w:rPr>
          <w:lang w:val="en-US"/>
        </w:rPr>
        <w:t xml:space="preserve"> percentile becomes l</w:t>
      </w:r>
      <w:r w:rsidR="0082680F">
        <w:rPr>
          <w:lang w:val="en-US"/>
        </w:rPr>
        <w:t>ower bounded by 50 ns for small volumes</w:t>
      </w:r>
      <w:r w:rsidR="00E40AA3">
        <w:rPr>
          <w:lang w:val="en-US"/>
        </w:rPr>
        <w:t xml:space="preserve"> (lower bound is 19 ns for the median</w:t>
      </w:r>
      <w:r w:rsidR="006D2C57">
        <w:rPr>
          <w:lang w:val="en-US"/>
        </w:rPr>
        <w:t xml:space="preserve"> delay spread</w:t>
      </w:r>
      <w:r w:rsidR="00E40AA3">
        <w:rPr>
          <w:lang w:val="en-US"/>
        </w:rPr>
        <w:t>)</w:t>
      </w:r>
      <w:r w:rsidR="0082680F">
        <w:rPr>
          <w:lang w:val="en-US"/>
        </w:rPr>
        <w:t xml:space="preserve">. </w:t>
      </w:r>
    </w:p>
    <w:p w14:paraId="43D81504" w14:textId="173C15D7" w:rsidR="00DD712C" w:rsidRPr="00CE0424" w:rsidRDefault="00DD712C" w:rsidP="00DD712C">
      <w:pPr>
        <w:pStyle w:val="Observation"/>
      </w:pPr>
      <w:bookmarkStart w:id="7" w:name="_Toc1152718"/>
      <w:r>
        <w:t>The rms delay spread increases with increasing factory hall volume</w:t>
      </w:r>
      <w:bookmarkEnd w:id="7"/>
    </w:p>
    <w:p w14:paraId="1ED351F0" w14:textId="67E81DF3" w:rsidR="002F4BF8" w:rsidRPr="00A04F49" w:rsidRDefault="002F4BF8" w:rsidP="002F4BF8">
      <w:pPr>
        <w:pStyle w:val="Proposal"/>
      </w:pPr>
      <w:bookmarkStart w:id="8" w:name="_Toc1152723"/>
      <w:r>
        <w:t xml:space="preserve">For </w:t>
      </w:r>
      <w:r w:rsidR="00176692">
        <w:t xml:space="preserve">rms delay spread </w:t>
      </w:r>
      <w:r>
        <w:t xml:space="preserve">in the industrial scenario, </w:t>
      </w:r>
      <w:r w:rsidR="00176692">
        <w:t xml:space="preserve">use a hall volume-dependent </w:t>
      </w:r>
      <w:r w:rsidR="00176692">
        <w:rPr>
          <w:rFonts w:ascii="Symbol" w:hAnsi="Symbol"/>
          <w:i/>
          <w:szCs w:val="18"/>
        </w:rPr>
        <w:t></w:t>
      </w:r>
      <w:proofErr w:type="spellStart"/>
      <w:r w:rsidR="00176692">
        <w:rPr>
          <w:szCs w:val="18"/>
          <w:vertAlign w:val="subscript"/>
        </w:rPr>
        <w:t>lgDS</w:t>
      </w:r>
      <w:proofErr w:type="spellEnd"/>
      <w:r w:rsidR="00367CA3">
        <w:t>.</w:t>
      </w:r>
      <w:bookmarkEnd w:id="8"/>
    </w:p>
    <w:p w14:paraId="3A4D54C9" w14:textId="72A438EC" w:rsidR="002F4BF8" w:rsidRDefault="002F4BF8" w:rsidP="00A04F49">
      <w:pPr>
        <w:pStyle w:val="BodyText"/>
      </w:pPr>
    </w:p>
    <w:p w14:paraId="2128B5A4" w14:textId="31CD0A74" w:rsidR="00CE217D" w:rsidRDefault="00CE217D" w:rsidP="00A04F49">
      <w:pPr>
        <w:pStyle w:val="BodyText"/>
      </w:pPr>
    </w:p>
    <w:p w14:paraId="2216CE9F" w14:textId="77777777" w:rsidR="00CE217D" w:rsidRPr="002F4BF8" w:rsidRDefault="00CE217D" w:rsidP="00A04F49">
      <w:pPr>
        <w:pStyle w:val="BodyText"/>
      </w:pPr>
    </w:p>
    <w:p w14:paraId="65CD4C78" w14:textId="44B0065A" w:rsidR="00447B13" w:rsidRPr="009A640D" w:rsidRDefault="00926D2B" w:rsidP="00447B13">
      <w:pPr>
        <w:pStyle w:val="TH"/>
      </w:pPr>
      <w:bookmarkStart w:id="9" w:name="_Ref1129917"/>
      <w:r w:rsidRPr="00D94252">
        <w:rPr>
          <w:rFonts w:cs="Arial"/>
          <w:lang w:val="en-US"/>
        </w:rPr>
        <w:t xml:space="preserve">Table </w:t>
      </w:r>
      <w:r w:rsidRPr="00D94252">
        <w:rPr>
          <w:rFonts w:cs="Arial"/>
          <w:lang w:val="en-US"/>
        </w:rPr>
        <w:fldChar w:fldCharType="begin"/>
      </w:r>
      <w:r w:rsidRPr="00D94252">
        <w:rPr>
          <w:rFonts w:cs="Arial"/>
          <w:lang w:val="en-US"/>
        </w:rPr>
        <w:instrText xml:space="preserve"> SEQ Table \* ARABIC </w:instrText>
      </w:r>
      <w:r w:rsidRPr="00D94252">
        <w:rPr>
          <w:rFonts w:cs="Arial"/>
          <w:lang w:val="en-US"/>
        </w:rPr>
        <w:fldChar w:fldCharType="separate"/>
      </w:r>
      <w:r w:rsidR="00337D0C">
        <w:rPr>
          <w:rFonts w:cs="Arial"/>
          <w:noProof/>
          <w:lang w:val="en-US"/>
        </w:rPr>
        <w:t>1</w:t>
      </w:r>
      <w:r w:rsidRPr="00D94252">
        <w:rPr>
          <w:rFonts w:cs="Arial"/>
          <w:lang w:val="en-US"/>
        </w:rPr>
        <w:fldChar w:fldCharType="end"/>
      </w:r>
      <w:bookmarkEnd w:id="9"/>
      <w:r w:rsidRPr="00D94252">
        <w:rPr>
          <w:rFonts w:cs="Arial"/>
          <w:lang w:val="en-US"/>
        </w:rPr>
        <w:t xml:space="preserve">: </w:t>
      </w:r>
      <w:r>
        <w:rPr>
          <w:rFonts w:cs="Arial"/>
          <w:lang w:val="en-US"/>
        </w:rPr>
        <w:t xml:space="preserve">Proposed model for </w:t>
      </w:r>
      <w:r w:rsidR="000952D2">
        <w:rPr>
          <w:rFonts w:cs="Arial"/>
          <w:lang w:val="en-US"/>
        </w:rPr>
        <w:t xml:space="preserve">hall volume-dependent </w:t>
      </w:r>
      <w:r>
        <w:rPr>
          <w:rFonts w:cs="Arial"/>
          <w:lang w:val="en-US"/>
        </w:rPr>
        <w:t>rms delay spread</w:t>
      </w:r>
    </w:p>
    <w:tbl>
      <w:tblPr>
        <w:tblW w:w="5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9"/>
        <w:gridCol w:w="708"/>
        <w:gridCol w:w="1497"/>
        <w:gridCol w:w="1622"/>
        <w:gridCol w:w="4394"/>
      </w:tblGrid>
      <w:tr w:rsidR="00BE5F99" w14:paraId="28B7563F" w14:textId="77777777" w:rsidTr="000952D2">
        <w:trPr>
          <w:cantSplit/>
          <w:jc w:val="center"/>
        </w:trPr>
        <w:tc>
          <w:tcPr>
            <w:tcW w:w="1266"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65FA126" w14:textId="77777777" w:rsidR="00065EA1" w:rsidRDefault="00065EA1" w:rsidP="00575BA5">
            <w:pPr>
              <w:pStyle w:val="TAH"/>
              <w:rPr>
                <w:szCs w:val="18"/>
                <w:lang w:val="en-GB" w:eastAsia="en-US"/>
              </w:rPr>
            </w:pPr>
            <w:r>
              <w:rPr>
                <w:szCs w:val="18"/>
              </w:rPr>
              <w:t>Scenarios</w:t>
            </w:r>
          </w:p>
        </w:tc>
        <w:tc>
          <w:tcPr>
            <w:tcW w:w="1550" w:type="pct"/>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6DB5E32D" w14:textId="77777777" w:rsidR="00065EA1" w:rsidRDefault="00065EA1" w:rsidP="00575BA5">
            <w:pPr>
              <w:pStyle w:val="TAH"/>
              <w:rPr>
                <w:szCs w:val="18"/>
                <w:lang w:eastAsia="ko-KR"/>
              </w:rPr>
            </w:pPr>
            <w:r>
              <w:rPr>
                <w:szCs w:val="18"/>
                <w:lang w:eastAsia="ko-KR"/>
              </w:rPr>
              <w:t>Indoor-Office</w:t>
            </w:r>
          </w:p>
        </w:tc>
        <w:tc>
          <w:tcPr>
            <w:tcW w:w="2184" w:type="pct"/>
            <w:tcBorders>
              <w:top w:val="single" w:sz="4" w:space="0" w:color="auto"/>
              <w:left w:val="single" w:sz="4" w:space="0" w:color="auto"/>
              <w:bottom w:val="single" w:sz="4" w:space="0" w:color="auto"/>
              <w:right w:val="single" w:sz="4" w:space="0" w:color="auto"/>
            </w:tcBorders>
            <w:shd w:val="clear" w:color="auto" w:fill="EDEDED"/>
            <w:hideMark/>
          </w:tcPr>
          <w:p w14:paraId="75D93446" w14:textId="77777777" w:rsidR="00065EA1" w:rsidRDefault="00065EA1" w:rsidP="00575BA5">
            <w:pPr>
              <w:pStyle w:val="TAH"/>
              <w:rPr>
                <w:szCs w:val="18"/>
                <w:lang w:eastAsia="ko-KR"/>
              </w:rPr>
            </w:pPr>
            <w:r>
              <w:rPr>
                <w:szCs w:val="18"/>
                <w:lang w:eastAsia="ko-KR"/>
              </w:rPr>
              <w:t>Industrial</w:t>
            </w:r>
          </w:p>
        </w:tc>
      </w:tr>
      <w:tr w:rsidR="00BE5F99" w14:paraId="42D96D92" w14:textId="77777777" w:rsidTr="000952D2">
        <w:trPr>
          <w:cantSplit/>
          <w:jc w:val="center"/>
        </w:trPr>
        <w:tc>
          <w:tcPr>
            <w:tcW w:w="1266" w:type="pct"/>
            <w:gridSpan w:val="2"/>
            <w:vMerge/>
            <w:tcBorders>
              <w:top w:val="single" w:sz="4" w:space="0" w:color="auto"/>
              <w:left w:val="single" w:sz="4" w:space="0" w:color="auto"/>
              <w:bottom w:val="single" w:sz="4" w:space="0" w:color="auto"/>
              <w:right w:val="single" w:sz="4" w:space="0" w:color="auto"/>
            </w:tcBorders>
            <w:vAlign w:val="center"/>
            <w:hideMark/>
          </w:tcPr>
          <w:p w14:paraId="1C746942" w14:textId="77777777" w:rsidR="00065EA1" w:rsidRDefault="00065EA1" w:rsidP="00575BA5">
            <w:pPr>
              <w:rPr>
                <w:rFonts w:ascii="Arial" w:eastAsia="Malgun Gothic" w:hAnsi="Arial"/>
                <w:b/>
                <w:sz w:val="18"/>
                <w:szCs w:val="18"/>
                <w:lang w:eastAsia="en-US"/>
              </w:rPr>
            </w:pPr>
          </w:p>
        </w:tc>
        <w:tc>
          <w:tcPr>
            <w:tcW w:w="744"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8F6CF8F" w14:textId="77777777" w:rsidR="00065EA1" w:rsidRDefault="00065EA1" w:rsidP="00575BA5">
            <w:pPr>
              <w:pStyle w:val="TAH"/>
              <w:rPr>
                <w:szCs w:val="18"/>
                <w:lang w:eastAsia="en-US"/>
              </w:rPr>
            </w:pPr>
            <w:r>
              <w:rPr>
                <w:szCs w:val="18"/>
              </w:rPr>
              <w:t>LOS</w:t>
            </w:r>
          </w:p>
        </w:tc>
        <w:tc>
          <w:tcPr>
            <w:tcW w:w="80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F857ED5" w14:textId="77777777" w:rsidR="00065EA1" w:rsidRDefault="00065EA1" w:rsidP="00575BA5">
            <w:pPr>
              <w:pStyle w:val="TAH"/>
              <w:rPr>
                <w:szCs w:val="18"/>
              </w:rPr>
            </w:pPr>
            <w:r>
              <w:rPr>
                <w:szCs w:val="18"/>
              </w:rPr>
              <w:t>NLOS</w:t>
            </w:r>
          </w:p>
        </w:tc>
        <w:tc>
          <w:tcPr>
            <w:tcW w:w="2184" w:type="pct"/>
            <w:tcBorders>
              <w:top w:val="single" w:sz="4" w:space="0" w:color="auto"/>
              <w:left w:val="single" w:sz="4" w:space="0" w:color="auto"/>
              <w:bottom w:val="single" w:sz="4" w:space="0" w:color="auto"/>
              <w:right w:val="single" w:sz="4" w:space="0" w:color="auto"/>
            </w:tcBorders>
            <w:shd w:val="clear" w:color="auto" w:fill="EDEDED"/>
          </w:tcPr>
          <w:p w14:paraId="6F5FA212" w14:textId="3B355618" w:rsidR="00065EA1" w:rsidRDefault="00065EA1" w:rsidP="00575BA5">
            <w:pPr>
              <w:pStyle w:val="TAH"/>
              <w:rPr>
                <w:szCs w:val="18"/>
              </w:rPr>
            </w:pPr>
          </w:p>
        </w:tc>
      </w:tr>
      <w:tr w:rsidR="00BE5F99" w:rsidRPr="00065EA1" w14:paraId="3265B050" w14:textId="77777777" w:rsidTr="000952D2">
        <w:trPr>
          <w:cantSplit/>
          <w:jc w:val="center"/>
        </w:trPr>
        <w:tc>
          <w:tcPr>
            <w:tcW w:w="914" w:type="pct"/>
            <w:vMerge w:val="restart"/>
            <w:tcBorders>
              <w:top w:val="single" w:sz="4" w:space="0" w:color="auto"/>
              <w:left w:val="single" w:sz="4" w:space="0" w:color="auto"/>
              <w:bottom w:val="single" w:sz="4" w:space="0" w:color="auto"/>
              <w:right w:val="single" w:sz="4" w:space="0" w:color="auto"/>
            </w:tcBorders>
            <w:vAlign w:val="center"/>
            <w:hideMark/>
          </w:tcPr>
          <w:p w14:paraId="2A4D5C92" w14:textId="77777777" w:rsidR="00065EA1" w:rsidRDefault="00065EA1" w:rsidP="00575BA5">
            <w:pPr>
              <w:pStyle w:val="TAC"/>
              <w:rPr>
                <w:rFonts w:ascii="Symbol" w:hAnsi="Symbol"/>
                <w:i/>
                <w:szCs w:val="18"/>
              </w:rPr>
            </w:pPr>
            <w:r>
              <w:rPr>
                <w:szCs w:val="18"/>
              </w:rPr>
              <w:t>Delay spread (DS)</w:t>
            </w:r>
          </w:p>
          <w:p w14:paraId="74E52168" w14:textId="77777777" w:rsidR="00065EA1" w:rsidRDefault="00065EA1" w:rsidP="00575BA5">
            <w:pPr>
              <w:pStyle w:val="TAC"/>
              <w:rPr>
                <w:szCs w:val="18"/>
              </w:rPr>
            </w:pPr>
            <w:r>
              <w:rPr>
                <w:szCs w:val="18"/>
              </w:rPr>
              <w:t>lgDS=log</w:t>
            </w:r>
            <w:r>
              <w:rPr>
                <w:szCs w:val="18"/>
                <w:vertAlign w:val="subscript"/>
              </w:rPr>
              <w:t>10</w:t>
            </w:r>
            <w:r>
              <w:rPr>
                <w:szCs w:val="18"/>
              </w:rPr>
              <w:t>(DS/1s)</w:t>
            </w:r>
          </w:p>
        </w:tc>
        <w:tc>
          <w:tcPr>
            <w:tcW w:w="352" w:type="pct"/>
            <w:tcBorders>
              <w:top w:val="single" w:sz="4" w:space="0" w:color="auto"/>
              <w:left w:val="single" w:sz="4" w:space="0" w:color="auto"/>
              <w:bottom w:val="single" w:sz="4" w:space="0" w:color="auto"/>
              <w:right w:val="single" w:sz="4" w:space="0" w:color="auto"/>
            </w:tcBorders>
            <w:vAlign w:val="center"/>
            <w:hideMark/>
          </w:tcPr>
          <w:p w14:paraId="153F80DB" w14:textId="77777777" w:rsidR="00065EA1" w:rsidRDefault="00065EA1" w:rsidP="00575BA5">
            <w:pPr>
              <w:pStyle w:val="TAC"/>
              <w:rPr>
                <w:szCs w:val="18"/>
              </w:rPr>
            </w:pPr>
            <w:r>
              <w:rPr>
                <w:rFonts w:ascii="Symbol" w:hAnsi="Symbol"/>
                <w:i/>
                <w:szCs w:val="18"/>
              </w:rPr>
              <w:t></w:t>
            </w:r>
            <w:r>
              <w:rPr>
                <w:szCs w:val="18"/>
                <w:vertAlign w:val="subscript"/>
              </w:rPr>
              <w:t>lgDS</w:t>
            </w:r>
          </w:p>
        </w:tc>
        <w:tc>
          <w:tcPr>
            <w:tcW w:w="744" w:type="pct"/>
            <w:tcBorders>
              <w:top w:val="single" w:sz="4" w:space="0" w:color="auto"/>
              <w:left w:val="single" w:sz="4" w:space="0" w:color="auto"/>
              <w:bottom w:val="single" w:sz="4" w:space="0" w:color="auto"/>
              <w:right w:val="single" w:sz="4" w:space="0" w:color="auto"/>
            </w:tcBorders>
            <w:vAlign w:val="center"/>
            <w:hideMark/>
          </w:tcPr>
          <w:p w14:paraId="403EFE97" w14:textId="77777777" w:rsidR="00065EA1" w:rsidRDefault="00065EA1" w:rsidP="00575BA5">
            <w:pPr>
              <w:pStyle w:val="TAC"/>
              <w:rPr>
                <w:szCs w:val="18"/>
                <w:lang w:eastAsia="zh-CN"/>
              </w:rPr>
            </w:pPr>
            <w:r>
              <w:rPr>
                <w:szCs w:val="18"/>
                <w:lang w:eastAsia="zh-CN"/>
              </w:rPr>
              <w:t>-0.01</w:t>
            </w:r>
            <w:r>
              <w:rPr>
                <w:szCs w:val="18"/>
                <w:lang w:eastAsia="ko-KR"/>
              </w:rPr>
              <w:t xml:space="preserve"> </w:t>
            </w:r>
            <w:r>
              <w:rPr>
                <w:rFonts w:cs="Arial"/>
                <w:color w:val="000000"/>
                <w:kern w:val="24"/>
                <w:szCs w:val="18"/>
              </w:rPr>
              <w:t>log</w:t>
            </w:r>
            <w:r>
              <w:rPr>
                <w:rFonts w:cs="Arial"/>
                <w:color w:val="000000"/>
                <w:kern w:val="24"/>
                <w:szCs w:val="18"/>
                <w:vertAlign w:val="subscript"/>
              </w:rPr>
              <w:t>10</w:t>
            </w:r>
            <w:r>
              <w:rPr>
                <w:szCs w:val="18"/>
                <w:lang w:eastAsia="zh-CN"/>
              </w:rPr>
              <w:t>(1+</w:t>
            </w:r>
            <w:r>
              <w:rPr>
                <w:i/>
                <w:color w:val="000000"/>
                <w:kern w:val="24"/>
                <w:szCs w:val="18"/>
              </w:rPr>
              <w:t>f</w:t>
            </w:r>
            <w:r>
              <w:rPr>
                <w:i/>
                <w:color w:val="000000"/>
                <w:kern w:val="24"/>
                <w:szCs w:val="18"/>
                <w:vertAlign w:val="subscript"/>
              </w:rPr>
              <w:t>c</w:t>
            </w:r>
            <w:r>
              <w:rPr>
                <w:szCs w:val="18"/>
                <w:lang w:eastAsia="zh-CN"/>
              </w:rPr>
              <w:t>) - 7.692</w:t>
            </w:r>
          </w:p>
        </w:tc>
        <w:tc>
          <w:tcPr>
            <w:tcW w:w="806" w:type="pct"/>
            <w:tcBorders>
              <w:top w:val="single" w:sz="4" w:space="0" w:color="auto"/>
              <w:left w:val="single" w:sz="4" w:space="0" w:color="auto"/>
              <w:bottom w:val="single" w:sz="4" w:space="0" w:color="auto"/>
              <w:right w:val="single" w:sz="4" w:space="0" w:color="auto"/>
            </w:tcBorders>
            <w:vAlign w:val="center"/>
            <w:hideMark/>
          </w:tcPr>
          <w:p w14:paraId="4BB9C710" w14:textId="77777777" w:rsidR="00065EA1" w:rsidRDefault="00065EA1" w:rsidP="00575BA5">
            <w:pPr>
              <w:pStyle w:val="TAC"/>
              <w:rPr>
                <w:szCs w:val="18"/>
                <w:lang w:eastAsia="en-US"/>
              </w:rPr>
            </w:pPr>
            <w:r>
              <w:rPr>
                <w:rFonts w:eastAsia="Microsoft YaHei"/>
                <w:color w:val="000000"/>
                <w:kern w:val="24"/>
                <w:szCs w:val="18"/>
                <w:lang w:eastAsia="zh-CN"/>
              </w:rPr>
              <w:t>-0.28</w:t>
            </w:r>
            <w:r>
              <w:rPr>
                <w:color w:val="000000"/>
                <w:kern w:val="24"/>
                <w:szCs w:val="18"/>
                <w:lang w:eastAsia="ko-KR"/>
              </w:rPr>
              <w:t xml:space="preserve"> </w:t>
            </w:r>
            <w:r>
              <w:rPr>
                <w:rFonts w:cs="Arial"/>
                <w:color w:val="000000"/>
                <w:kern w:val="24"/>
                <w:szCs w:val="18"/>
              </w:rPr>
              <w:t>log</w:t>
            </w:r>
            <w:r>
              <w:rPr>
                <w:rFonts w:cs="Arial"/>
                <w:color w:val="000000"/>
                <w:kern w:val="24"/>
                <w:szCs w:val="18"/>
                <w:vertAlign w:val="subscript"/>
              </w:rPr>
              <w:t>10</w:t>
            </w:r>
            <w:r>
              <w:rPr>
                <w:rFonts w:eastAsia="Microsoft YaHei"/>
                <w:color w:val="000000"/>
                <w:kern w:val="24"/>
                <w:szCs w:val="18"/>
                <w:lang w:eastAsia="zh-CN"/>
              </w:rPr>
              <w:t>(1+</w:t>
            </w:r>
            <w:r>
              <w:rPr>
                <w:i/>
                <w:color w:val="000000"/>
                <w:kern w:val="24"/>
                <w:szCs w:val="18"/>
              </w:rPr>
              <w:t>f</w:t>
            </w:r>
            <w:r>
              <w:rPr>
                <w:i/>
                <w:color w:val="000000"/>
                <w:kern w:val="24"/>
                <w:szCs w:val="18"/>
                <w:vertAlign w:val="subscript"/>
              </w:rPr>
              <w:t>c</w:t>
            </w:r>
            <w:r>
              <w:rPr>
                <w:rFonts w:eastAsia="Microsoft YaHei"/>
                <w:color w:val="000000"/>
                <w:kern w:val="24"/>
                <w:szCs w:val="18"/>
                <w:lang w:eastAsia="zh-CN"/>
              </w:rPr>
              <w:t>) - 7.173</w:t>
            </w:r>
          </w:p>
        </w:tc>
        <w:tc>
          <w:tcPr>
            <w:tcW w:w="2184" w:type="pct"/>
            <w:tcBorders>
              <w:top w:val="single" w:sz="4" w:space="0" w:color="auto"/>
              <w:left w:val="single" w:sz="4" w:space="0" w:color="auto"/>
              <w:bottom w:val="single" w:sz="4" w:space="0" w:color="auto"/>
              <w:right w:val="single" w:sz="4" w:space="0" w:color="auto"/>
            </w:tcBorders>
            <w:shd w:val="clear" w:color="auto" w:fill="EDEDED"/>
            <w:hideMark/>
          </w:tcPr>
          <w:p w14:paraId="4253EF86" w14:textId="77777777" w:rsidR="00BE5F99" w:rsidRDefault="00F13308" w:rsidP="00BE5F99">
            <w:pPr>
              <w:pStyle w:val="TAC"/>
              <w:rPr>
                <w:rFonts w:eastAsia="Microsoft YaHei"/>
                <w:color w:val="000000"/>
                <w:kern w:val="24"/>
                <w:szCs w:val="18"/>
                <w:lang w:val="sv-SE" w:eastAsia="zh-CN"/>
              </w:rPr>
            </w:pPr>
            <m:oMathPara>
              <m:oMath>
                <m:sSub>
                  <m:sSubPr>
                    <m:ctrlPr>
                      <w:rPr>
                        <w:rFonts w:ascii="Cambria Math" w:eastAsia="MS Mincho" w:hAnsi="Cambria Math"/>
                        <w:i/>
                        <w:sz w:val="22"/>
                        <w:lang w:val="en-US"/>
                      </w:rPr>
                    </m:ctrlPr>
                  </m:sSubPr>
                  <m:e>
                    <m:r>
                      <w:rPr>
                        <w:rFonts w:ascii="Cambria Math" w:eastAsia="MS Mincho" w:hAnsi="Cambria Math"/>
                      </w:rPr>
                      <m:t>log</m:t>
                    </m:r>
                  </m:e>
                  <m:sub>
                    <m:r>
                      <w:rPr>
                        <w:rFonts w:ascii="Cambria Math" w:eastAsia="MS Mincho" w:hAnsi="Cambria Math"/>
                      </w:rPr>
                      <m:t>10</m:t>
                    </m:r>
                  </m:sub>
                </m:sSub>
                <m:d>
                  <m:dPr>
                    <m:ctrlPr>
                      <w:rPr>
                        <w:rFonts w:ascii="Cambria Math" w:eastAsia="MS Mincho" w:hAnsi="Cambria Math"/>
                        <w:i/>
                        <w:sz w:val="22"/>
                        <w:lang w:val="en-US"/>
                      </w:rPr>
                    </m:ctrlPr>
                  </m:dPr>
                  <m:e>
                    <m:f>
                      <m:fPr>
                        <m:ctrlPr>
                          <w:rPr>
                            <w:rFonts w:ascii="Cambria Math" w:eastAsia="MS Mincho" w:hAnsi="Cambria Math"/>
                            <w:i/>
                            <w:sz w:val="22"/>
                            <w:lang w:val="en-US"/>
                          </w:rPr>
                        </m:ctrlPr>
                      </m:fPr>
                      <m:num>
                        <m:r>
                          <w:rPr>
                            <w:rFonts w:ascii="Cambria Math" w:eastAsia="MS Mincho" w:hAnsi="Cambria Math"/>
                          </w:rPr>
                          <m:t>500</m:t>
                        </m:r>
                      </m:num>
                      <m:den>
                        <m:r>
                          <w:rPr>
                            <w:rFonts w:ascii="Cambria Math" w:eastAsia="MS Mincho" w:hAnsi="Cambria Math"/>
                          </w:rPr>
                          <m:t>6</m:t>
                        </m:r>
                      </m:den>
                    </m:f>
                    <m:sSub>
                      <m:sSubPr>
                        <m:ctrlPr>
                          <w:rPr>
                            <w:rFonts w:ascii="Cambria Math" w:eastAsia="MS Mincho" w:hAnsi="Cambria Math"/>
                            <w:i/>
                            <w:sz w:val="22"/>
                            <w:lang w:val="en-US"/>
                          </w:rPr>
                        </m:ctrlPr>
                      </m:sSubPr>
                      <m:e>
                        <m:r>
                          <w:rPr>
                            <w:rFonts w:ascii="Cambria Math" w:eastAsia="MS Mincho" w:hAnsi="Cambria Math"/>
                          </w:rPr>
                          <m:t>log</m:t>
                        </m:r>
                      </m:e>
                      <m:sub>
                        <m:r>
                          <w:rPr>
                            <w:rFonts w:ascii="Cambria Math" w:eastAsia="MS Mincho" w:hAnsi="Cambria Math"/>
                          </w:rPr>
                          <m:t>10</m:t>
                        </m:r>
                      </m:sub>
                    </m:sSub>
                    <m:d>
                      <m:dPr>
                        <m:ctrlPr>
                          <w:rPr>
                            <w:rFonts w:ascii="Cambria Math" w:eastAsia="MS Mincho" w:hAnsi="Cambria Math"/>
                            <w:i/>
                            <w:sz w:val="22"/>
                            <w:lang w:val="en-US"/>
                          </w:rPr>
                        </m:ctrlPr>
                      </m:dPr>
                      <m:e>
                        <m:r>
                          <w:rPr>
                            <w:rFonts w:ascii="Cambria Math" w:eastAsia="MS Mincho" w:hAnsi="Cambria Math"/>
                          </w:rPr>
                          <m:t>max</m:t>
                        </m:r>
                        <m:d>
                          <m:dPr>
                            <m:ctrlPr>
                              <w:rPr>
                                <w:rFonts w:ascii="Cambria Math" w:eastAsia="MS Mincho" w:hAnsi="Cambria Math"/>
                                <w:i/>
                                <w:sz w:val="22"/>
                                <w:lang w:val="en-US"/>
                              </w:rPr>
                            </m:ctrlPr>
                          </m:dPr>
                          <m:e>
                            <m:r>
                              <w:rPr>
                                <w:rFonts w:ascii="Cambria Math" w:eastAsia="MS Mincho" w:hAnsi="Cambria Math"/>
                              </w:rPr>
                              <m:t>V,1000</m:t>
                            </m:r>
                          </m:e>
                        </m:d>
                      </m:e>
                    </m:d>
                    <m:r>
                      <w:rPr>
                        <w:rFonts w:ascii="Cambria Math" w:eastAsia="MS Mincho" w:hAnsi="Cambria Math"/>
                      </w:rPr>
                      <m:t>-200</m:t>
                    </m:r>
                  </m:e>
                </m:d>
                <m:r>
                  <w:rPr>
                    <w:rFonts w:ascii="Cambria Math" w:eastAsia="MS Mincho" w:hAnsi="Cambria Math"/>
                  </w:rPr>
                  <m:t>-9.42</m:t>
                </m:r>
              </m:oMath>
            </m:oMathPara>
          </w:p>
          <w:p w14:paraId="4A1F6B56" w14:textId="77777777" w:rsidR="00065EA1" w:rsidRDefault="00065EA1" w:rsidP="00575BA5">
            <w:pPr>
              <w:pStyle w:val="TAC"/>
              <w:rPr>
                <w:rFonts w:eastAsia="Microsoft YaHei"/>
                <w:color w:val="000000"/>
                <w:kern w:val="24"/>
                <w:szCs w:val="18"/>
                <w:lang w:eastAsia="zh-CN"/>
              </w:rPr>
            </w:pPr>
            <w:r>
              <w:rPr>
                <w:rFonts w:eastAsia="Microsoft YaHei"/>
                <w:color w:val="000000"/>
                <w:kern w:val="24"/>
                <w:szCs w:val="18"/>
                <w:lang w:eastAsia="zh-CN"/>
              </w:rPr>
              <w:t>V = hall volume [m</w:t>
            </w:r>
            <w:r>
              <w:rPr>
                <w:rFonts w:eastAsia="Microsoft YaHei"/>
                <w:color w:val="000000"/>
                <w:kern w:val="24"/>
                <w:szCs w:val="18"/>
                <w:vertAlign w:val="superscript"/>
                <w:lang w:eastAsia="zh-CN"/>
              </w:rPr>
              <w:t>3</w:t>
            </w:r>
            <w:r>
              <w:rPr>
                <w:rFonts w:eastAsia="Microsoft YaHei"/>
                <w:color w:val="000000"/>
                <w:kern w:val="24"/>
                <w:szCs w:val="18"/>
                <w:lang w:eastAsia="zh-CN"/>
              </w:rPr>
              <w:t>]</w:t>
            </w:r>
          </w:p>
        </w:tc>
      </w:tr>
      <w:tr w:rsidR="00BE5F99" w14:paraId="07CCFC70" w14:textId="77777777" w:rsidTr="000952D2">
        <w:trPr>
          <w:cantSplit/>
          <w:jc w:val="center"/>
        </w:trPr>
        <w:tc>
          <w:tcPr>
            <w:tcW w:w="914" w:type="pct"/>
            <w:vMerge/>
            <w:tcBorders>
              <w:top w:val="single" w:sz="4" w:space="0" w:color="auto"/>
              <w:left w:val="single" w:sz="4" w:space="0" w:color="auto"/>
              <w:bottom w:val="single" w:sz="4" w:space="0" w:color="auto"/>
              <w:right w:val="single" w:sz="4" w:space="0" w:color="auto"/>
            </w:tcBorders>
            <w:vAlign w:val="center"/>
            <w:hideMark/>
          </w:tcPr>
          <w:p w14:paraId="0229C063" w14:textId="77777777" w:rsidR="00065EA1" w:rsidRPr="00065EA1" w:rsidRDefault="00065EA1" w:rsidP="00575BA5">
            <w:pPr>
              <w:rPr>
                <w:rFonts w:ascii="Arial" w:eastAsia="Malgun Gothic" w:hAnsi="Arial"/>
                <w:sz w:val="18"/>
                <w:szCs w:val="18"/>
                <w:lang w:val="sv-SE" w:eastAsia="en-US"/>
              </w:rPr>
            </w:pPr>
          </w:p>
        </w:tc>
        <w:tc>
          <w:tcPr>
            <w:tcW w:w="352" w:type="pct"/>
            <w:tcBorders>
              <w:top w:val="single" w:sz="4" w:space="0" w:color="auto"/>
              <w:left w:val="single" w:sz="4" w:space="0" w:color="auto"/>
              <w:bottom w:val="single" w:sz="4" w:space="0" w:color="auto"/>
              <w:right w:val="single" w:sz="4" w:space="0" w:color="auto"/>
            </w:tcBorders>
            <w:vAlign w:val="center"/>
            <w:hideMark/>
          </w:tcPr>
          <w:p w14:paraId="16C648D8" w14:textId="77777777" w:rsidR="00065EA1" w:rsidRDefault="00065EA1" w:rsidP="00575BA5">
            <w:pPr>
              <w:pStyle w:val="TAC"/>
              <w:rPr>
                <w:rFonts w:eastAsia="Malgun Gothic"/>
                <w:szCs w:val="18"/>
                <w:lang w:eastAsia="en-US"/>
              </w:rPr>
            </w:pPr>
            <w:r>
              <w:rPr>
                <w:rFonts w:ascii="Symbol" w:hAnsi="Symbol"/>
                <w:i/>
                <w:szCs w:val="18"/>
              </w:rPr>
              <w:t></w:t>
            </w:r>
            <w:r>
              <w:rPr>
                <w:szCs w:val="18"/>
                <w:vertAlign w:val="subscript"/>
              </w:rPr>
              <w:t>lgDS</w:t>
            </w:r>
          </w:p>
        </w:tc>
        <w:tc>
          <w:tcPr>
            <w:tcW w:w="744" w:type="pct"/>
            <w:tcBorders>
              <w:top w:val="single" w:sz="4" w:space="0" w:color="auto"/>
              <w:left w:val="single" w:sz="4" w:space="0" w:color="auto"/>
              <w:bottom w:val="single" w:sz="4" w:space="0" w:color="auto"/>
              <w:right w:val="single" w:sz="4" w:space="0" w:color="auto"/>
            </w:tcBorders>
            <w:vAlign w:val="center"/>
            <w:hideMark/>
          </w:tcPr>
          <w:p w14:paraId="4FE546C2" w14:textId="77777777" w:rsidR="00065EA1" w:rsidRDefault="00065EA1" w:rsidP="00575BA5">
            <w:pPr>
              <w:pStyle w:val="TAC"/>
              <w:rPr>
                <w:szCs w:val="18"/>
                <w:lang w:eastAsia="zh-CN"/>
              </w:rPr>
            </w:pPr>
            <w:r>
              <w:rPr>
                <w:szCs w:val="18"/>
                <w:lang w:eastAsia="zh-CN"/>
              </w:rPr>
              <w:t>0.18</w:t>
            </w:r>
          </w:p>
        </w:tc>
        <w:tc>
          <w:tcPr>
            <w:tcW w:w="806" w:type="pct"/>
            <w:tcBorders>
              <w:top w:val="single" w:sz="4" w:space="0" w:color="auto"/>
              <w:left w:val="single" w:sz="4" w:space="0" w:color="auto"/>
              <w:bottom w:val="single" w:sz="4" w:space="0" w:color="auto"/>
              <w:right w:val="single" w:sz="4" w:space="0" w:color="auto"/>
            </w:tcBorders>
            <w:vAlign w:val="center"/>
            <w:hideMark/>
          </w:tcPr>
          <w:p w14:paraId="29D86B7A" w14:textId="77777777" w:rsidR="00065EA1" w:rsidRDefault="00065EA1" w:rsidP="00575BA5">
            <w:pPr>
              <w:pStyle w:val="TAC"/>
              <w:rPr>
                <w:szCs w:val="18"/>
                <w:lang w:eastAsia="en-US"/>
              </w:rPr>
            </w:pPr>
            <w:r>
              <w:rPr>
                <w:rFonts w:eastAsia="Microsoft YaHei"/>
                <w:color w:val="000000"/>
                <w:kern w:val="24"/>
                <w:szCs w:val="18"/>
                <w:lang w:eastAsia="zh-CN"/>
              </w:rPr>
              <w:t>0.10</w:t>
            </w:r>
            <w:r>
              <w:rPr>
                <w:color w:val="000000"/>
                <w:kern w:val="24"/>
                <w:szCs w:val="18"/>
                <w:lang w:eastAsia="ko-KR"/>
              </w:rPr>
              <w:t xml:space="preserve"> </w:t>
            </w:r>
            <w:r>
              <w:rPr>
                <w:rFonts w:cs="Arial"/>
                <w:color w:val="000000"/>
                <w:kern w:val="24"/>
                <w:szCs w:val="18"/>
              </w:rPr>
              <w:t>log</w:t>
            </w:r>
            <w:r>
              <w:rPr>
                <w:rFonts w:cs="Arial"/>
                <w:color w:val="000000"/>
                <w:kern w:val="24"/>
                <w:szCs w:val="18"/>
                <w:vertAlign w:val="subscript"/>
              </w:rPr>
              <w:t>10</w:t>
            </w:r>
            <w:r>
              <w:rPr>
                <w:rFonts w:eastAsia="Microsoft YaHei"/>
                <w:color w:val="000000"/>
                <w:kern w:val="24"/>
                <w:szCs w:val="18"/>
                <w:lang w:eastAsia="zh-CN"/>
              </w:rPr>
              <w:t>(1+</w:t>
            </w:r>
            <w:r>
              <w:rPr>
                <w:i/>
                <w:color w:val="000000"/>
                <w:kern w:val="24"/>
                <w:szCs w:val="18"/>
              </w:rPr>
              <w:t>f</w:t>
            </w:r>
            <w:r>
              <w:rPr>
                <w:i/>
                <w:color w:val="000000"/>
                <w:kern w:val="24"/>
                <w:szCs w:val="18"/>
                <w:vertAlign w:val="subscript"/>
              </w:rPr>
              <w:t>c</w:t>
            </w:r>
            <w:r>
              <w:rPr>
                <w:rFonts w:eastAsia="Microsoft YaHei"/>
                <w:color w:val="000000"/>
                <w:kern w:val="24"/>
                <w:szCs w:val="18"/>
                <w:lang w:eastAsia="zh-CN"/>
              </w:rPr>
              <w:t>) + 0.055</w:t>
            </w:r>
          </w:p>
        </w:tc>
        <w:tc>
          <w:tcPr>
            <w:tcW w:w="2184" w:type="pct"/>
            <w:tcBorders>
              <w:top w:val="single" w:sz="4" w:space="0" w:color="auto"/>
              <w:left w:val="single" w:sz="4" w:space="0" w:color="auto"/>
              <w:bottom w:val="single" w:sz="4" w:space="0" w:color="auto"/>
              <w:right w:val="single" w:sz="4" w:space="0" w:color="auto"/>
            </w:tcBorders>
            <w:shd w:val="clear" w:color="auto" w:fill="EDEDED"/>
            <w:vAlign w:val="center"/>
            <w:hideMark/>
          </w:tcPr>
          <w:p w14:paraId="6E9FE97B" w14:textId="77777777" w:rsidR="00065EA1" w:rsidRDefault="00065EA1" w:rsidP="00BE5F99">
            <w:pPr>
              <w:pStyle w:val="TAC"/>
              <w:rPr>
                <w:rFonts w:eastAsia="Microsoft YaHei"/>
                <w:color w:val="000000"/>
                <w:kern w:val="24"/>
                <w:szCs w:val="18"/>
                <w:lang w:eastAsia="zh-CN"/>
              </w:rPr>
            </w:pPr>
            <w:r>
              <w:rPr>
                <w:rFonts w:eastAsia="Microsoft YaHei"/>
                <w:color w:val="000000"/>
                <w:kern w:val="24"/>
                <w:szCs w:val="18"/>
                <w:lang w:eastAsia="zh-CN"/>
              </w:rPr>
              <w:t>0.18</w:t>
            </w:r>
          </w:p>
        </w:tc>
      </w:tr>
    </w:tbl>
    <w:p w14:paraId="1CCFC7AB" w14:textId="77777777" w:rsidR="00557E7C" w:rsidRDefault="00557E7C" w:rsidP="00A04F49">
      <w:pPr>
        <w:pStyle w:val="BodyText"/>
        <w:rPr>
          <w:lang w:val="en-US"/>
        </w:rPr>
      </w:pPr>
    </w:p>
    <w:p w14:paraId="506E629D" w14:textId="0E1E1A11" w:rsidR="008D0B62" w:rsidRPr="00D94252" w:rsidRDefault="008D0B62" w:rsidP="008D0B62">
      <w:pPr>
        <w:pStyle w:val="Caption"/>
        <w:keepNext/>
        <w:spacing w:before="240"/>
        <w:jc w:val="center"/>
        <w:rPr>
          <w:rFonts w:ascii="Arial" w:hAnsi="Arial" w:cs="Arial"/>
          <w:lang w:val="en-US"/>
        </w:rPr>
      </w:pPr>
      <w:bookmarkStart w:id="10" w:name="_Ref528927884"/>
      <w:r w:rsidRPr="00D94252">
        <w:rPr>
          <w:rFonts w:ascii="Arial" w:hAnsi="Arial" w:cs="Arial"/>
          <w:lang w:val="en-US"/>
        </w:rPr>
        <w:t xml:space="preserve">Table </w:t>
      </w:r>
      <w:r w:rsidRPr="00D94252">
        <w:rPr>
          <w:rFonts w:ascii="Arial" w:hAnsi="Arial" w:cs="Arial"/>
          <w:lang w:val="en-US"/>
        </w:rPr>
        <w:fldChar w:fldCharType="begin"/>
      </w:r>
      <w:r w:rsidRPr="00D94252">
        <w:rPr>
          <w:rFonts w:ascii="Arial" w:hAnsi="Arial" w:cs="Arial"/>
          <w:lang w:val="en-US"/>
        </w:rPr>
        <w:instrText xml:space="preserve"> SEQ Table \* ARABIC </w:instrText>
      </w:r>
      <w:r w:rsidRPr="00D94252">
        <w:rPr>
          <w:rFonts w:ascii="Arial" w:hAnsi="Arial" w:cs="Arial"/>
          <w:lang w:val="en-US"/>
        </w:rPr>
        <w:fldChar w:fldCharType="separate"/>
      </w:r>
      <w:r w:rsidR="00337D0C">
        <w:rPr>
          <w:rFonts w:ascii="Arial" w:hAnsi="Arial" w:cs="Arial"/>
          <w:noProof/>
          <w:lang w:val="en-US"/>
        </w:rPr>
        <w:t>2</w:t>
      </w:r>
      <w:r w:rsidRPr="00D94252">
        <w:rPr>
          <w:rFonts w:ascii="Arial" w:hAnsi="Arial" w:cs="Arial"/>
          <w:lang w:val="en-US"/>
        </w:rPr>
        <w:fldChar w:fldCharType="end"/>
      </w:r>
      <w:bookmarkEnd w:id="10"/>
      <w:r w:rsidRPr="00D94252">
        <w:rPr>
          <w:rFonts w:ascii="Arial" w:hAnsi="Arial" w:cs="Arial"/>
          <w:lang w:val="en-US"/>
        </w:rPr>
        <w:t xml:space="preserve">: </w:t>
      </w:r>
      <w:r w:rsidRPr="00A21518">
        <w:rPr>
          <w:rFonts w:ascii="Arial" w:hAnsi="Arial" w:cs="Arial"/>
          <w:lang w:val="en-US"/>
        </w:rPr>
        <w:t>Observations of rms delay spreads in industrial measurements</w:t>
      </w:r>
      <w:r w:rsidRPr="00D94252">
        <w:rPr>
          <w:rFonts w:ascii="Arial" w:hAnsi="Arial" w:cs="Arial"/>
          <w:lang w:val="en-US"/>
        </w:rPr>
        <w:t>.</w:t>
      </w:r>
      <w:r w:rsidR="00DA1E1E">
        <w:rPr>
          <w:rFonts w:ascii="Arial" w:hAnsi="Arial" w:cs="Arial"/>
          <w:lang w:val="en-US"/>
        </w:rPr>
        <w:t xml:space="preserve"> (Note: </w:t>
      </w:r>
      <w:r w:rsidR="00EC4B30">
        <w:rPr>
          <w:rFonts w:ascii="Arial" w:hAnsi="Arial" w:cs="Arial"/>
          <w:lang w:val="en-US"/>
        </w:rPr>
        <w:t xml:space="preserve">the source column points to </w:t>
      </w:r>
      <w:r w:rsidR="00DA1E1E">
        <w:rPr>
          <w:rFonts w:ascii="Arial" w:hAnsi="Arial" w:cs="Arial"/>
          <w:lang w:val="en-US"/>
        </w:rPr>
        <w:t xml:space="preserve">references </w:t>
      </w:r>
      <w:r w:rsidR="00EC4B30">
        <w:rPr>
          <w:rFonts w:ascii="Arial" w:hAnsi="Arial" w:cs="Arial"/>
          <w:lang w:val="en-US"/>
        </w:rPr>
        <w:t>in</w:t>
      </w:r>
      <w:r w:rsidR="00584F8F">
        <w:rPr>
          <w:rFonts w:ascii="Arial" w:hAnsi="Arial" w:cs="Arial"/>
          <w:lang w:val="en-US"/>
        </w:rPr>
        <w:t xml:space="preserve"> </w:t>
      </w:r>
      <w:r w:rsidR="00584F8F">
        <w:rPr>
          <w:rFonts w:ascii="Arial" w:hAnsi="Arial" w:cs="Arial"/>
          <w:lang w:val="en-US"/>
        </w:rPr>
        <w:fldChar w:fldCharType="begin"/>
      </w:r>
      <w:r w:rsidR="00584F8F">
        <w:rPr>
          <w:rFonts w:ascii="Arial" w:hAnsi="Arial" w:cs="Arial"/>
          <w:lang w:val="en-US"/>
        </w:rPr>
        <w:instrText xml:space="preserve"> REF _Ref1133648 \r \h </w:instrText>
      </w:r>
      <w:r w:rsidR="00584F8F">
        <w:rPr>
          <w:rFonts w:ascii="Arial" w:hAnsi="Arial" w:cs="Arial"/>
          <w:lang w:val="en-US"/>
        </w:rPr>
      </w:r>
      <w:r w:rsidR="00584F8F">
        <w:rPr>
          <w:rFonts w:ascii="Arial" w:hAnsi="Arial" w:cs="Arial"/>
          <w:lang w:val="en-US"/>
        </w:rPr>
        <w:fldChar w:fldCharType="separate"/>
      </w:r>
      <w:r w:rsidR="00337D0C">
        <w:rPr>
          <w:rFonts w:ascii="Arial" w:hAnsi="Arial" w:cs="Arial"/>
          <w:lang w:val="en-US"/>
        </w:rPr>
        <w:t>[1]</w:t>
      </w:r>
      <w:r w:rsidR="00584F8F">
        <w:rPr>
          <w:rFonts w:ascii="Arial" w:hAnsi="Arial" w:cs="Arial"/>
          <w:lang w:val="en-US"/>
        </w:rPr>
        <w:fldChar w:fldCharType="end"/>
      </w:r>
      <w:r w:rsidR="00DA1E1E">
        <w:rPr>
          <w:rFonts w:ascii="Arial" w:hAnsi="Arial" w:cs="Arial"/>
          <w:lang w:val="en-US"/>
        </w:rPr>
        <w:t>)</w:t>
      </w:r>
    </w:p>
    <w:tbl>
      <w:tblPr>
        <w:tblStyle w:val="GridTable4"/>
        <w:tblW w:w="5675" w:type="dxa"/>
        <w:jc w:val="center"/>
        <w:tblLook w:val="04A0" w:firstRow="1" w:lastRow="0" w:firstColumn="1" w:lastColumn="0" w:noHBand="0" w:noVBand="1"/>
      </w:tblPr>
      <w:tblGrid>
        <w:gridCol w:w="3114"/>
        <w:gridCol w:w="1565"/>
        <w:gridCol w:w="996"/>
      </w:tblGrid>
      <w:tr w:rsidR="008D0B62" w:rsidRPr="00D94252" w14:paraId="12CCBBE5" w14:textId="77777777" w:rsidTr="00575BA5">
        <w:trPr>
          <w:cnfStyle w:val="100000000000" w:firstRow="1" w:lastRow="0" w:firstColumn="0" w:lastColumn="0" w:oddVBand="0" w:evenVBand="0" w:oddHBand="0" w:evenHBand="0" w:firstRowFirstColumn="0" w:firstRowLastColumn="0" w:lastRowFirstColumn="0" w:lastRowLastColumn="0"/>
          <w:trHeight w:val="612"/>
          <w:jc w:val="center"/>
        </w:trPr>
        <w:tc>
          <w:tcPr>
            <w:cnfStyle w:val="001000000000" w:firstRow="0" w:lastRow="0" w:firstColumn="1" w:lastColumn="0" w:oddVBand="0" w:evenVBand="0" w:oddHBand="0" w:evenHBand="0" w:firstRowFirstColumn="0" w:firstRowLastColumn="0" w:lastRowFirstColumn="0" w:lastRowLastColumn="0"/>
            <w:tcW w:w="3114" w:type="dxa"/>
          </w:tcPr>
          <w:p w14:paraId="35C9F8A1" w14:textId="77777777" w:rsidR="008D0B62" w:rsidRPr="00D94252" w:rsidRDefault="008D0B62" w:rsidP="00575BA5">
            <w:pPr>
              <w:jc w:val="center"/>
              <w:rPr>
                <w:rFonts w:ascii="Arial" w:hAnsi="Arial" w:cs="Arial"/>
                <w:b w:val="0"/>
                <w:sz w:val="18"/>
                <w:szCs w:val="22"/>
              </w:rPr>
            </w:pPr>
            <w:r>
              <w:rPr>
                <w:rFonts w:ascii="Arial" w:hAnsi="Arial" w:cs="Arial"/>
                <w:b w:val="0"/>
                <w:sz w:val="18"/>
                <w:szCs w:val="22"/>
              </w:rPr>
              <w:t>Room or hall size</w:t>
            </w:r>
          </w:p>
        </w:tc>
        <w:tc>
          <w:tcPr>
            <w:tcW w:w="1565" w:type="dxa"/>
          </w:tcPr>
          <w:p w14:paraId="2053F8EE" w14:textId="77777777" w:rsidR="008D0B62" w:rsidRPr="00D94252" w:rsidRDefault="008D0B62" w:rsidP="00575BA5">
            <w:pPr>
              <w:pStyle w:val="TAH"/>
              <w:cnfStyle w:val="100000000000" w:firstRow="1" w:lastRow="0" w:firstColumn="0" w:lastColumn="0" w:oddVBand="0" w:evenVBand="0" w:oddHBand="0" w:evenHBand="0" w:firstRowFirstColumn="0" w:firstRowLastColumn="0" w:lastRowFirstColumn="0" w:lastRowLastColumn="0"/>
              <w:rPr>
                <w:rFonts w:cs="Arial"/>
                <w:szCs w:val="22"/>
                <w:lang w:val="en-US"/>
              </w:rPr>
            </w:pPr>
            <w:r>
              <w:rPr>
                <w:rFonts w:cs="Arial"/>
                <w:szCs w:val="22"/>
                <w:lang w:val="en-US"/>
              </w:rPr>
              <w:t>RMS delay spread</w:t>
            </w:r>
          </w:p>
        </w:tc>
        <w:tc>
          <w:tcPr>
            <w:tcW w:w="996" w:type="dxa"/>
          </w:tcPr>
          <w:p w14:paraId="50817E07" w14:textId="77777777" w:rsidR="008D0B62" w:rsidRPr="00D94252" w:rsidRDefault="008D0B62" w:rsidP="00575BA5">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22"/>
              </w:rPr>
            </w:pPr>
            <w:r>
              <w:rPr>
                <w:rFonts w:ascii="Arial" w:hAnsi="Arial" w:cs="Arial"/>
                <w:b w:val="0"/>
                <w:sz w:val="18"/>
                <w:szCs w:val="22"/>
              </w:rPr>
              <w:t>Source</w:t>
            </w:r>
          </w:p>
        </w:tc>
      </w:tr>
      <w:tr w:rsidR="00DA1E1E" w:rsidRPr="00D94252" w14:paraId="1C169E17" w14:textId="77777777" w:rsidTr="00575BA5">
        <w:trPr>
          <w:cnfStyle w:val="000000100000" w:firstRow="0" w:lastRow="0" w:firstColumn="0" w:lastColumn="0" w:oddVBand="0" w:evenVBand="0" w:oddHBand="1"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3114" w:type="dxa"/>
          </w:tcPr>
          <w:p w14:paraId="53510281" w14:textId="77777777" w:rsidR="00DA1E1E" w:rsidRPr="000F25DB" w:rsidRDefault="00DA1E1E" w:rsidP="00DA1E1E">
            <w:pPr>
              <w:jc w:val="center"/>
              <w:rPr>
                <w:rFonts w:ascii="Arial" w:hAnsi="Arial" w:cs="Arial"/>
                <w:b w:val="0"/>
                <w:sz w:val="18"/>
                <w:szCs w:val="18"/>
              </w:rPr>
            </w:pPr>
            <w:r w:rsidRPr="000F25DB">
              <w:rPr>
                <w:rFonts w:ascii="Arial" w:hAnsi="Arial" w:cs="Arial"/>
                <w:b w:val="0"/>
                <w:sz w:val="18"/>
                <w:szCs w:val="18"/>
              </w:rPr>
              <w:t>20x20x5 m</w:t>
            </w:r>
          </w:p>
        </w:tc>
        <w:tc>
          <w:tcPr>
            <w:tcW w:w="1565" w:type="dxa"/>
          </w:tcPr>
          <w:p w14:paraId="65D9DF2F" w14:textId="77777777" w:rsidR="00DA1E1E" w:rsidRPr="000F25DB" w:rsidRDefault="00DA1E1E" w:rsidP="00DA1E1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F25DB">
              <w:rPr>
                <w:rFonts w:ascii="Arial" w:hAnsi="Arial" w:cs="Arial"/>
                <w:sz w:val="18"/>
                <w:szCs w:val="18"/>
              </w:rPr>
              <w:t>76 ns (for dense multipath components)</w:t>
            </w:r>
          </w:p>
        </w:tc>
        <w:tc>
          <w:tcPr>
            <w:tcW w:w="996" w:type="dxa"/>
          </w:tcPr>
          <w:p w14:paraId="7254037C" w14:textId="281E2D07" w:rsidR="00DA1E1E" w:rsidRPr="00EC4B30" w:rsidRDefault="00DA1E1E" w:rsidP="00DA1E1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C4B30">
              <w:rPr>
                <w:rFonts w:ascii="Arial" w:hAnsi="Arial" w:cs="Arial"/>
                <w:sz w:val="18"/>
                <w:szCs w:val="18"/>
              </w:rPr>
              <w:t>[15]</w:t>
            </w:r>
          </w:p>
        </w:tc>
      </w:tr>
      <w:tr w:rsidR="00DA1E1E" w:rsidRPr="00D94252" w14:paraId="721D959E" w14:textId="77777777" w:rsidTr="00575BA5">
        <w:trPr>
          <w:trHeight w:val="271"/>
          <w:jc w:val="center"/>
        </w:trPr>
        <w:tc>
          <w:tcPr>
            <w:cnfStyle w:val="001000000000" w:firstRow="0" w:lastRow="0" w:firstColumn="1" w:lastColumn="0" w:oddVBand="0" w:evenVBand="0" w:oddHBand="0" w:evenHBand="0" w:firstRowFirstColumn="0" w:firstRowLastColumn="0" w:lastRowFirstColumn="0" w:lastRowLastColumn="0"/>
            <w:tcW w:w="3114" w:type="dxa"/>
          </w:tcPr>
          <w:p w14:paraId="2ABB9D84" w14:textId="77777777" w:rsidR="00DA1E1E" w:rsidRPr="000F25DB" w:rsidRDefault="00DA1E1E" w:rsidP="00DA1E1E">
            <w:pPr>
              <w:jc w:val="center"/>
              <w:rPr>
                <w:rFonts w:ascii="Arial" w:hAnsi="Arial" w:cs="Arial"/>
                <w:b w:val="0"/>
                <w:sz w:val="18"/>
                <w:szCs w:val="18"/>
              </w:rPr>
            </w:pPr>
            <w:r w:rsidRPr="000F25DB">
              <w:rPr>
                <w:rFonts w:ascii="Arial" w:hAnsi="Arial" w:cs="Arial"/>
                <w:b w:val="0"/>
                <w:sz w:val="18"/>
                <w:szCs w:val="18"/>
              </w:rPr>
              <w:t>20x77x12 m</w:t>
            </w:r>
          </w:p>
        </w:tc>
        <w:tc>
          <w:tcPr>
            <w:tcW w:w="1565" w:type="dxa"/>
          </w:tcPr>
          <w:p w14:paraId="7A969D87" w14:textId="77777777" w:rsidR="00DA1E1E" w:rsidRDefault="00DA1E1E" w:rsidP="00DA1E1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F25DB">
              <w:rPr>
                <w:rFonts w:ascii="Arial" w:hAnsi="Arial" w:cs="Arial"/>
                <w:sz w:val="18"/>
                <w:szCs w:val="18"/>
              </w:rPr>
              <w:t xml:space="preserve">LOS: 35 ns </w:t>
            </w:r>
          </w:p>
          <w:p w14:paraId="7F26364E" w14:textId="77777777" w:rsidR="00DA1E1E" w:rsidRPr="000F25DB" w:rsidRDefault="00DA1E1E" w:rsidP="00DA1E1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F25DB">
              <w:rPr>
                <w:rFonts w:ascii="Arial" w:hAnsi="Arial" w:cs="Arial"/>
                <w:sz w:val="18"/>
                <w:szCs w:val="18"/>
              </w:rPr>
              <w:t>NLOS: 55 ns</w:t>
            </w:r>
          </w:p>
        </w:tc>
        <w:tc>
          <w:tcPr>
            <w:tcW w:w="996" w:type="dxa"/>
          </w:tcPr>
          <w:p w14:paraId="77FE4EAF" w14:textId="28B23797" w:rsidR="00DA1E1E" w:rsidRPr="00EC4B30" w:rsidRDefault="00DA1E1E" w:rsidP="00DA1E1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C4B30">
              <w:rPr>
                <w:rFonts w:ascii="Arial" w:hAnsi="Arial" w:cs="Arial"/>
                <w:sz w:val="18"/>
                <w:szCs w:val="18"/>
              </w:rPr>
              <w:t>[17]</w:t>
            </w:r>
          </w:p>
        </w:tc>
      </w:tr>
      <w:tr w:rsidR="00DA1E1E" w:rsidRPr="00D94252" w14:paraId="2A46F9E9" w14:textId="77777777" w:rsidTr="00575BA5">
        <w:trPr>
          <w:cnfStyle w:val="000000100000" w:firstRow="0" w:lastRow="0" w:firstColumn="0" w:lastColumn="0" w:oddVBand="0" w:evenVBand="0" w:oddHBand="1"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3114" w:type="dxa"/>
          </w:tcPr>
          <w:p w14:paraId="7401CCF3" w14:textId="77777777" w:rsidR="00DA1E1E" w:rsidRPr="000F25DB" w:rsidRDefault="00DA1E1E" w:rsidP="00DA1E1E">
            <w:pPr>
              <w:jc w:val="center"/>
              <w:rPr>
                <w:rFonts w:ascii="Arial" w:hAnsi="Arial" w:cs="Arial"/>
                <w:b w:val="0"/>
                <w:sz w:val="18"/>
                <w:szCs w:val="18"/>
              </w:rPr>
            </w:pPr>
            <w:r w:rsidRPr="000F25DB">
              <w:rPr>
                <w:rFonts w:ascii="Arial" w:hAnsi="Arial" w:cs="Arial"/>
                <w:b w:val="0"/>
                <w:sz w:val="18"/>
                <w:szCs w:val="18"/>
              </w:rPr>
              <w:t>21000-100000 m2</w:t>
            </w:r>
          </w:p>
        </w:tc>
        <w:tc>
          <w:tcPr>
            <w:tcW w:w="1565" w:type="dxa"/>
          </w:tcPr>
          <w:p w14:paraId="04207E8B" w14:textId="77777777" w:rsidR="00DA1E1E" w:rsidRPr="000F25DB" w:rsidRDefault="00DA1E1E" w:rsidP="00DA1E1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F25DB">
              <w:rPr>
                <w:rFonts w:ascii="Arial" w:hAnsi="Arial" w:cs="Arial"/>
                <w:sz w:val="18"/>
                <w:szCs w:val="18"/>
              </w:rPr>
              <w:t>30-170 ns</w:t>
            </w:r>
          </w:p>
        </w:tc>
        <w:tc>
          <w:tcPr>
            <w:tcW w:w="996" w:type="dxa"/>
          </w:tcPr>
          <w:p w14:paraId="6DA33C23" w14:textId="7DFD6C75" w:rsidR="00DA1E1E" w:rsidRPr="00EC4B30" w:rsidRDefault="00DA1E1E" w:rsidP="00DA1E1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C4B30">
              <w:rPr>
                <w:rFonts w:ascii="Arial" w:hAnsi="Arial" w:cs="Arial"/>
                <w:sz w:val="18"/>
                <w:szCs w:val="18"/>
              </w:rPr>
              <w:t>[24]</w:t>
            </w:r>
          </w:p>
        </w:tc>
      </w:tr>
      <w:tr w:rsidR="00DA1E1E" w:rsidRPr="00D94252" w14:paraId="33FF8C9C" w14:textId="77777777" w:rsidTr="00575BA5">
        <w:trPr>
          <w:trHeight w:val="271"/>
          <w:jc w:val="center"/>
        </w:trPr>
        <w:tc>
          <w:tcPr>
            <w:cnfStyle w:val="001000000000" w:firstRow="0" w:lastRow="0" w:firstColumn="1" w:lastColumn="0" w:oddVBand="0" w:evenVBand="0" w:oddHBand="0" w:evenHBand="0" w:firstRowFirstColumn="0" w:firstRowLastColumn="0" w:lastRowFirstColumn="0" w:lastRowLastColumn="0"/>
            <w:tcW w:w="3114" w:type="dxa"/>
          </w:tcPr>
          <w:p w14:paraId="7FEE2865" w14:textId="77777777" w:rsidR="00DA1E1E" w:rsidRPr="000F25DB" w:rsidRDefault="00DA1E1E" w:rsidP="00DA1E1E">
            <w:pPr>
              <w:jc w:val="center"/>
              <w:rPr>
                <w:rFonts w:ascii="Arial" w:hAnsi="Arial" w:cs="Arial"/>
                <w:b w:val="0"/>
                <w:sz w:val="18"/>
                <w:szCs w:val="18"/>
              </w:rPr>
            </w:pPr>
            <w:r w:rsidRPr="000F25DB">
              <w:rPr>
                <w:rFonts w:ascii="Arial" w:hAnsi="Arial" w:cs="Arial"/>
                <w:b w:val="0"/>
                <w:sz w:val="18"/>
                <w:szCs w:val="18"/>
              </w:rPr>
              <w:t>14x9x8 m and 94x70x10 m</w:t>
            </w:r>
          </w:p>
        </w:tc>
        <w:tc>
          <w:tcPr>
            <w:tcW w:w="1565" w:type="dxa"/>
          </w:tcPr>
          <w:p w14:paraId="6E90B934" w14:textId="77777777" w:rsidR="00DA1E1E" w:rsidRPr="000F25DB" w:rsidRDefault="00DA1E1E" w:rsidP="00DA1E1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F25DB">
              <w:rPr>
                <w:rFonts w:ascii="Arial" w:hAnsi="Arial" w:cs="Arial"/>
                <w:sz w:val="18"/>
                <w:szCs w:val="18"/>
              </w:rPr>
              <w:t>30-50 ns</w:t>
            </w:r>
          </w:p>
        </w:tc>
        <w:tc>
          <w:tcPr>
            <w:tcW w:w="996" w:type="dxa"/>
          </w:tcPr>
          <w:p w14:paraId="411DEC50" w14:textId="7E36C8C0" w:rsidR="00DA1E1E" w:rsidRPr="00EC4B30" w:rsidRDefault="00DA1E1E" w:rsidP="00DA1E1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C4B30">
              <w:rPr>
                <w:rFonts w:ascii="Arial" w:hAnsi="Arial" w:cs="Arial"/>
                <w:sz w:val="18"/>
                <w:szCs w:val="18"/>
              </w:rPr>
              <w:t>[27]</w:t>
            </w:r>
          </w:p>
        </w:tc>
      </w:tr>
      <w:tr w:rsidR="00DA1E1E" w:rsidRPr="00D94252" w14:paraId="6DA45408" w14:textId="77777777" w:rsidTr="00575BA5">
        <w:trPr>
          <w:cnfStyle w:val="000000100000" w:firstRow="0" w:lastRow="0" w:firstColumn="0" w:lastColumn="0" w:oddVBand="0" w:evenVBand="0" w:oddHBand="1"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3114" w:type="dxa"/>
          </w:tcPr>
          <w:p w14:paraId="6DC20473" w14:textId="77777777" w:rsidR="00DA1E1E" w:rsidRDefault="00DA1E1E" w:rsidP="00DA1E1E">
            <w:pPr>
              <w:jc w:val="center"/>
              <w:rPr>
                <w:rFonts w:ascii="Arial" w:hAnsi="Arial" w:cs="Arial"/>
                <w:b w:val="0"/>
                <w:sz w:val="18"/>
                <w:szCs w:val="18"/>
              </w:rPr>
            </w:pPr>
            <w:r w:rsidRPr="000F25DB">
              <w:rPr>
                <w:rFonts w:ascii="Arial" w:hAnsi="Arial" w:cs="Arial"/>
                <w:b w:val="0"/>
                <w:sz w:val="18"/>
                <w:szCs w:val="18"/>
              </w:rPr>
              <w:t xml:space="preserve">120x20 m </w:t>
            </w:r>
          </w:p>
          <w:p w14:paraId="4731B06E" w14:textId="77777777" w:rsidR="00DA1E1E" w:rsidRPr="000F25DB" w:rsidRDefault="00DA1E1E" w:rsidP="00DA1E1E">
            <w:pPr>
              <w:jc w:val="center"/>
              <w:rPr>
                <w:rFonts w:ascii="Arial" w:hAnsi="Arial" w:cs="Arial"/>
                <w:b w:val="0"/>
                <w:sz w:val="18"/>
                <w:szCs w:val="18"/>
              </w:rPr>
            </w:pPr>
            <w:r w:rsidRPr="000F25DB">
              <w:rPr>
                <w:rFonts w:ascii="Arial" w:hAnsi="Arial" w:cs="Arial"/>
                <w:b w:val="0"/>
                <w:sz w:val="18"/>
                <w:szCs w:val="18"/>
              </w:rPr>
              <w:t>300x120x30 m</w:t>
            </w:r>
          </w:p>
        </w:tc>
        <w:tc>
          <w:tcPr>
            <w:tcW w:w="1565" w:type="dxa"/>
          </w:tcPr>
          <w:p w14:paraId="584A4127" w14:textId="77777777" w:rsidR="00DA1E1E" w:rsidRDefault="00DA1E1E" w:rsidP="00DA1E1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F25DB">
              <w:rPr>
                <w:rFonts w:ascii="Arial" w:hAnsi="Arial" w:cs="Arial"/>
                <w:sz w:val="18"/>
                <w:szCs w:val="18"/>
              </w:rPr>
              <w:t xml:space="preserve">40-140 ns </w:t>
            </w:r>
          </w:p>
          <w:p w14:paraId="33B2632A" w14:textId="77777777" w:rsidR="00DA1E1E" w:rsidRPr="000F25DB" w:rsidRDefault="00DA1E1E" w:rsidP="00DA1E1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F25DB">
              <w:rPr>
                <w:rFonts w:ascii="Arial" w:hAnsi="Arial" w:cs="Arial"/>
                <w:sz w:val="18"/>
                <w:szCs w:val="18"/>
              </w:rPr>
              <w:t>40-300 ns</w:t>
            </w:r>
          </w:p>
        </w:tc>
        <w:tc>
          <w:tcPr>
            <w:tcW w:w="996" w:type="dxa"/>
          </w:tcPr>
          <w:p w14:paraId="5D930E9C" w14:textId="16C05E85" w:rsidR="00DA1E1E" w:rsidRPr="00EC4B30" w:rsidRDefault="00DA1E1E" w:rsidP="00DA1E1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C4B30">
              <w:rPr>
                <w:rFonts w:ascii="Arial" w:hAnsi="Arial" w:cs="Arial"/>
                <w:sz w:val="18"/>
                <w:szCs w:val="18"/>
              </w:rPr>
              <w:t>[28]</w:t>
            </w:r>
          </w:p>
        </w:tc>
      </w:tr>
      <w:tr w:rsidR="00DA1E1E" w:rsidRPr="00D94252" w14:paraId="7F8CB2E0" w14:textId="77777777" w:rsidTr="00575BA5">
        <w:trPr>
          <w:trHeight w:val="271"/>
          <w:jc w:val="center"/>
        </w:trPr>
        <w:tc>
          <w:tcPr>
            <w:cnfStyle w:val="001000000000" w:firstRow="0" w:lastRow="0" w:firstColumn="1" w:lastColumn="0" w:oddVBand="0" w:evenVBand="0" w:oddHBand="0" w:evenHBand="0" w:firstRowFirstColumn="0" w:firstRowLastColumn="0" w:lastRowFirstColumn="0" w:lastRowLastColumn="0"/>
            <w:tcW w:w="3114" w:type="dxa"/>
          </w:tcPr>
          <w:p w14:paraId="54389D2F" w14:textId="77777777" w:rsidR="00DA1E1E" w:rsidRPr="000F25DB" w:rsidRDefault="00DA1E1E" w:rsidP="00DA1E1E">
            <w:pPr>
              <w:jc w:val="center"/>
              <w:rPr>
                <w:rFonts w:ascii="Arial" w:hAnsi="Arial" w:cs="Arial"/>
                <w:b w:val="0"/>
                <w:sz w:val="18"/>
                <w:szCs w:val="18"/>
              </w:rPr>
            </w:pPr>
            <w:r w:rsidRPr="000F25DB">
              <w:rPr>
                <w:rFonts w:ascii="Arial" w:hAnsi="Arial" w:cs="Arial"/>
                <w:b w:val="0"/>
                <w:sz w:val="18"/>
                <w:szCs w:val="18"/>
              </w:rPr>
              <w:t>15x17x5, 18x27x5, and 20x30x6 m</w:t>
            </w:r>
          </w:p>
        </w:tc>
        <w:tc>
          <w:tcPr>
            <w:tcW w:w="1565" w:type="dxa"/>
          </w:tcPr>
          <w:p w14:paraId="1AF2EBAB" w14:textId="77777777" w:rsidR="00DA1E1E" w:rsidRPr="000F25DB" w:rsidRDefault="00DA1E1E" w:rsidP="00DA1E1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F25DB">
              <w:rPr>
                <w:rFonts w:ascii="Arial" w:hAnsi="Arial" w:cs="Arial"/>
                <w:sz w:val="18"/>
                <w:szCs w:val="18"/>
              </w:rPr>
              <w:t>&lt;30-50 ns</w:t>
            </w:r>
          </w:p>
        </w:tc>
        <w:tc>
          <w:tcPr>
            <w:tcW w:w="996" w:type="dxa"/>
          </w:tcPr>
          <w:p w14:paraId="7447BF8E" w14:textId="6CF6D607" w:rsidR="00DA1E1E" w:rsidRPr="00EC4B30" w:rsidRDefault="00DA1E1E" w:rsidP="00DA1E1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C4B30">
              <w:rPr>
                <w:rFonts w:ascii="Arial" w:hAnsi="Arial" w:cs="Arial"/>
                <w:sz w:val="18"/>
                <w:szCs w:val="18"/>
              </w:rPr>
              <w:t>[31]</w:t>
            </w:r>
          </w:p>
        </w:tc>
      </w:tr>
      <w:tr w:rsidR="00DA1E1E" w:rsidRPr="00D94252" w14:paraId="4690998F" w14:textId="77777777" w:rsidTr="00575BA5">
        <w:trPr>
          <w:cnfStyle w:val="000000100000" w:firstRow="0" w:lastRow="0" w:firstColumn="0" w:lastColumn="0" w:oddVBand="0" w:evenVBand="0" w:oddHBand="1"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3114" w:type="dxa"/>
          </w:tcPr>
          <w:p w14:paraId="53B74B29" w14:textId="77777777" w:rsidR="00DA1E1E" w:rsidRPr="000F25DB" w:rsidRDefault="00DA1E1E" w:rsidP="00DA1E1E">
            <w:pPr>
              <w:jc w:val="center"/>
              <w:rPr>
                <w:rFonts w:ascii="Arial" w:hAnsi="Arial" w:cs="Arial"/>
                <w:b w:val="0"/>
                <w:sz w:val="18"/>
                <w:szCs w:val="18"/>
              </w:rPr>
            </w:pPr>
            <w:r w:rsidRPr="000F25DB">
              <w:rPr>
                <w:rFonts w:ascii="Arial" w:hAnsi="Arial" w:cs="Arial"/>
                <w:b w:val="0"/>
                <w:sz w:val="18"/>
                <w:szCs w:val="18"/>
              </w:rPr>
              <w:t>4x8x3 m</w:t>
            </w:r>
          </w:p>
        </w:tc>
        <w:tc>
          <w:tcPr>
            <w:tcW w:w="1565" w:type="dxa"/>
          </w:tcPr>
          <w:p w14:paraId="39CB539D" w14:textId="77777777" w:rsidR="00DA1E1E" w:rsidRPr="000F25DB" w:rsidRDefault="00DA1E1E" w:rsidP="00DA1E1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F25DB">
              <w:rPr>
                <w:rFonts w:ascii="Arial" w:hAnsi="Arial" w:cs="Arial"/>
                <w:sz w:val="18"/>
                <w:szCs w:val="18"/>
              </w:rPr>
              <w:t>&lt;45 ns</w:t>
            </w:r>
          </w:p>
        </w:tc>
        <w:tc>
          <w:tcPr>
            <w:tcW w:w="996" w:type="dxa"/>
          </w:tcPr>
          <w:p w14:paraId="48538135" w14:textId="547DAFD8" w:rsidR="00DA1E1E" w:rsidRPr="00EC4B30" w:rsidRDefault="00DA1E1E" w:rsidP="00DA1E1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C4B30">
              <w:rPr>
                <w:rFonts w:ascii="Arial" w:hAnsi="Arial" w:cs="Arial"/>
                <w:sz w:val="18"/>
                <w:szCs w:val="18"/>
              </w:rPr>
              <w:t>[35]</w:t>
            </w:r>
          </w:p>
        </w:tc>
      </w:tr>
      <w:tr w:rsidR="00DA1E1E" w:rsidRPr="00D94252" w14:paraId="392BFCB5" w14:textId="77777777" w:rsidTr="00575BA5">
        <w:trPr>
          <w:trHeight w:val="271"/>
          <w:jc w:val="center"/>
        </w:trPr>
        <w:tc>
          <w:tcPr>
            <w:cnfStyle w:val="001000000000" w:firstRow="0" w:lastRow="0" w:firstColumn="1" w:lastColumn="0" w:oddVBand="0" w:evenVBand="0" w:oddHBand="0" w:evenHBand="0" w:firstRowFirstColumn="0" w:firstRowLastColumn="0" w:lastRowFirstColumn="0" w:lastRowLastColumn="0"/>
            <w:tcW w:w="3114" w:type="dxa"/>
          </w:tcPr>
          <w:p w14:paraId="345FCB7B" w14:textId="77777777" w:rsidR="00DA1E1E" w:rsidRPr="000F25DB" w:rsidRDefault="00DA1E1E" w:rsidP="00DA1E1E">
            <w:pPr>
              <w:jc w:val="center"/>
              <w:rPr>
                <w:rFonts w:ascii="Arial" w:hAnsi="Arial" w:cs="Arial"/>
                <w:b w:val="0"/>
                <w:sz w:val="18"/>
                <w:szCs w:val="18"/>
              </w:rPr>
            </w:pPr>
            <w:r w:rsidRPr="000F25DB">
              <w:rPr>
                <w:rFonts w:ascii="Arial" w:hAnsi="Arial" w:cs="Arial"/>
                <w:b w:val="0"/>
                <w:sz w:val="18"/>
                <w:szCs w:val="18"/>
              </w:rPr>
              <w:t>“Large metal and brick building”</w:t>
            </w:r>
          </w:p>
        </w:tc>
        <w:tc>
          <w:tcPr>
            <w:tcW w:w="1565" w:type="dxa"/>
          </w:tcPr>
          <w:p w14:paraId="5A0E00ED" w14:textId="77777777" w:rsidR="00DA1E1E" w:rsidRPr="000F25DB" w:rsidRDefault="00DA1E1E" w:rsidP="00DA1E1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F25DB">
              <w:rPr>
                <w:rFonts w:ascii="Arial" w:hAnsi="Arial" w:cs="Arial"/>
                <w:sz w:val="18"/>
                <w:szCs w:val="18"/>
              </w:rPr>
              <w:t>10-200 ns</w:t>
            </w:r>
          </w:p>
        </w:tc>
        <w:tc>
          <w:tcPr>
            <w:tcW w:w="996" w:type="dxa"/>
          </w:tcPr>
          <w:p w14:paraId="66467CBB" w14:textId="660A4117" w:rsidR="00DA1E1E" w:rsidRPr="00EC4B30" w:rsidRDefault="00DA1E1E" w:rsidP="00DA1E1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C4B30">
              <w:rPr>
                <w:rFonts w:ascii="Arial" w:hAnsi="Arial" w:cs="Arial"/>
                <w:sz w:val="18"/>
                <w:szCs w:val="18"/>
              </w:rPr>
              <w:t>[36]</w:t>
            </w:r>
          </w:p>
        </w:tc>
      </w:tr>
      <w:tr w:rsidR="00DA1E1E" w:rsidRPr="00D94252" w14:paraId="3ECA96BD" w14:textId="77777777" w:rsidTr="00575BA5">
        <w:trPr>
          <w:cnfStyle w:val="000000100000" w:firstRow="0" w:lastRow="0" w:firstColumn="0" w:lastColumn="0" w:oddVBand="0" w:evenVBand="0" w:oddHBand="1"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3114" w:type="dxa"/>
          </w:tcPr>
          <w:p w14:paraId="678A7F5F" w14:textId="77777777" w:rsidR="00DA1E1E" w:rsidRPr="000F25DB" w:rsidRDefault="00DA1E1E" w:rsidP="00DA1E1E">
            <w:pPr>
              <w:jc w:val="center"/>
              <w:rPr>
                <w:rFonts w:ascii="Arial" w:hAnsi="Arial" w:cs="Arial"/>
                <w:b w:val="0"/>
                <w:sz w:val="18"/>
                <w:szCs w:val="18"/>
              </w:rPr>
            </w:pPr>
            <w:r w:rsidRPr="000F25DB">
              <w:rPr>
                <w:rFonts w:ascii="Arial" w:hAnsi="Arial" w:cs="Arial"/>
                <w:b w:val="0"/>
                <w:sz w:val="18"/>
                <w:szCs w:val="18"/>
              </w:rPr>
              <w:t>Outdoor oil refinery</w:t>
            </w:r>
          </w:p>
        </w:tc>
        <w:tc>
          <w:tcPr>
            <w:tcW w:w="1565" w:type="dxa"/>
          </w:tcPr>
          <w:p w14:paraId="474554A0" w14:textId="77777777" w:rsidR="00DA1E1E" w:rsidRPr="000F25DB" w:rsidRDefault="00DA1E1E" w:rsidP="00DA1E1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F25DB">
              <w:rPr>
                <w:rFonts w:ascii="Arial" w:hAnsi="Arial" w:cs="Arial"/>
                <w:sz w:val="18"/>
                <w:szCs w:val="18"/>
              </w:rPr>
              <w:t>&lt;150 ns</w:t>
            </w:r>
          </w:p>
        </w:tc>
        <w:tc>
          <w:tcPr>
            <w:tcW w:w="996" w:type="dxa"/>
          </w:tcPr>
          <w:p w14:paraId="49CC544B" w14:textId="326FF0B0" w:rsidR="00DA1E1E" w:rsidRPr="00EC4B30" w:rsidRDefault="00DA1E1E" w:rsidP="00DA1E1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C4B30">
              <w:rPr>
                <w:rFonts w:ascii="Arial" w:hAnsi="Arial" w:cs="Arial"/>
                <w:sz w:val="18"/>
                <w:szCs w:val="18"/>
              </w:rPr>
              <w:t>[37]</w:t>
            </w:r>
          </w:p>
        </w:tc>
      </w:tr>
      <w:tr w:rsidR="00DA1E1E" w:rsidRPr="00D94252" w14:paraId="6574DA20" w14:textId="77777777" w:rsidTr="00575BA5">
        <w:trPr>
          <w:trHeight w:val="271"/>
          <w:jc w:val="center"/>
        </w:trPr>
        <w:tc>
          <w:tcPr>
            <w:cnfStyle w:val="001000000000" w:firstRow="0" w:lastRow="0" w:firstColumn="1" w:lastColumn="0" w:oddVBand="0" w:evenVBand="0" w:oddHBand="0" w:evenHBand="0" w:firstRowFirstColumn="0" w:firstRowLastColumn="0" w:lastRowFirstColumn="0" w:lastRowLastColumn="0"/>
            <w:tcW w:w="3114" w:type="dxa"/>
          </w:tcPr>
          <w:p w14:paraId="7D05B429" w14:textId="77777777" w:rsidR="00DA1E1E" w:rsidRPr="000F25DB" w:rsidRDefault="00DA1E1E" w:rsidP="00DA1E1E">
            <w:pPr>
              <w:jc w:val="center"/>
              <w:rPr>
                <w:rFonts w:ascii="Arial" w:hAnsi="Arial" w:cs="Arial"/>
                <w:b w:val="0"/>
                <w:sz w:val="18"/>
                <w:szCs w:val="18"/>
              </w:rPr>
            </w:pPr>
            <w:r w:rsidRPr="000F25DB">
              <w:rPr>
                <w:rFonts w:ascii="Arial" w:hAnsi="Arial" w:cs="Arial"/>
                <w:b w:val="0"/>
                <w:sz w:val="18"/>
                <w:szCs w:val="18"/>
              </w:rPr>
              <w:t>85x150x8 m</w:t>
            </w:r>
          </w:p>
        </w:tc>
        <w:tc>
          <w:tcPr>
            <w:tcW w:w="1565" w:type="dxa"/>
          </w:tcPr>
          <w:p w14:paraId="5EDD917D" w14:textId="77777777" w:rsidR="00DA1E1E" w:rsidRPr="000F25DB" w:rsidRDefault="00DA1E1E" w:rsidP="00DA1E1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F25DB">
              <w:rPr>
                <w:rFonts w:ascii="Arial" w:hAnsi="Arial" w:cs="Arial"/>
                <w:sz w:val="18"/>
                <w:szCs w:val="18"/>
              </w:rPr>
              <w:t>Up to 220 ns</w:t>
            </w:r>
          </w:p>
        </w:tc>
        <w:tc>
          <w:tcPr>
            <w:tcW w:w="996" w:type="dxa"/>
          </w:tcPr>
          <w:p w14:paraId="75234757" w14:textId="0B7167E8" w:rsidR="00DA1E1E" w:rsidRPr="00EC4B30" w:rsidRDefault="00DA1E1E" w:rsidP="00DA1E1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C4B30">
              <w:rPr>
                <w:rFonts w:ascii="Arial" w:hAnsi="Arial" w:cs="Arial"/>
                <w:sz w:val="18"/>
                <w:szCs w:val="18"/>
              </w:rPr>
              <w:t>[</w:t>
            </w:r>
            <w:proofErr w:type="gramStart"/>
            <w:r w:rsidRPr="00EC4B30">
              <w:rPr>
                <w:rFonts w:ascii="Arial" w:hAnsi="Arial" w:cs="Arial"/>
                <w:sz w:val="18"/>
                <w:szCs w:val="18"/>
              </w:rPr>
              <w:t>43][</w:t>
            </w:r>
            <w:proofErr w:type="gramEnd"/>
            <w:r w:rsidRPr="00EC4B30">
              <w:rPr>
                <w:rFonts w:ascii="Arial" w:hAnsi="Arial" w:cs="Arial"/>
                <w:sz w:val="18"/>
                <w:szCs w:val="18"/>
              </w:rPr>
              <w:t>44]</w:t>
            </w:r>
          </w:p>
        </w:tc>
      </w:tr>
      <w:tr w:rsidR="00DA1E1E" w:rsidRPr="00D94252" w14:paraId="3CE9B04C" w14:textId="77777777" w:rsidTr="00575BA5">
        <w:trPr>
          <w:cnfStyle w:val="000000100000" w:firstRow="0" w:lastRow="0" w:firstColumn="0" w:lastColumn="0" w:oddVBand="0" w:evenVBand="0" w:oddHBand="1"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3114" w:type="dxa"/>
          </w:tcPr>
          <w:p w14:paraId="4EE0F1D7" w14:textId="77777777" w:rsidR="00DA1E1E" w:rsidRPr="000F25DB" w:rsidRDefault="00DA1E1E" w:rsidP="00DA1E1E">
            <w:pPr>
              <w:jc w:val="center"/>
              <w:rPr>
                <w:rFonts w:ascii="Arial" w:hAnsi="Arial" w:cs="Arial"/>
                <w:b w:val="0"/>
                <w:sz w:val="18"/>
                <w:szCs w:val="18"/>
              </w:rPr>
            </w:pPr>
            <w:r w:rsidRPr="000F25DB">
              <w:rPr>
                <w:rFonts w:ascii="Arial" w:hAnsi="Arial" w:cs="Arial"/>
                <w:b w:val="0"/>
                <w:sz w:val="18"/>
                <w:szCs w:val="18"/>
              </w:rPr>
              <w:t>130x59x8 m</w:t>
            </w:r>
          </w:p>
        </w:tc>
        <w:tc>
          <w:tcPr>
            <w:tcW w:w="1565" w:type="dxa"/>
          </w:tcPr>
          <w:p w14:paraId="26AA9462" w14:textId="77777777" w:rsidR="00DA1E1E" w:rsidRPr="000F25DB" w:rsidRDefault="00DA1E1E" w:rsidP="00DA1E1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F25DB">
              <w:rPr>
                <w:rFonts w:ascii="Arial" w:hAnsi="Arial" w:cs="Arial"/>
                <w:sz w:val="18"/>
                <w:szCs w:val="18"/>
              </w:rPr>
              <w:t>&lt; 15 ns</w:t>
            </w:r>
          </w:p>
        </w:tc>
        <w:tc>
          <w:tcPr>
            <w:tcW w:w="996" w:type="dxa"/>
          </w:tcPr>
          <w:p w14:paraId="790B2DD1" w14:textId="18ABEC33" w:rsidR="00DA1E1E" w:rsidRPr="00EC4B30" w:rsidRDefault="00DA1E1E" w:rsidP="00DA1E1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C4B30">
              <w:rPr>
                <w:rFonts w:ascii="Arial" w:hAnsi="Arial" w:cs="Arial"/>
                <w:sz w:val="18"/>
                <w:szCs w:val="18"/>
              </w:rPr>
              <w:t>[45]</w:t>
            </w:r>
          </w:p>
        </w:tc>
      </w:tr>
      <w:tr w:rsidR="00DA1E1E" w:rsidRPr="00D94252" w14:paraId="34F317D8" w14:textId="77777777" w:rsidTr="00575BA5">
        <w:trPr>
          <w:trHeight w:val="271"/>
          <w:jc w:val="center"/>
        </w:trPr>
        <w:tc>
          <w:tcPr>
            <w:cnfStyle w:val="001000000000" w:firstRow="0" w:lastRow="0" w:firstColumn="1" w:lastColumn="0" w:oddVBand="0" w:evenVBand="0" w:oddHBand="0" w:evenHBand="0" w:firstRowFirstColumn="0" w:firstRowLastColumn="0" w:lastRowFirstColumn="0" w:lastRowLastColumn="0"/>
            <w:tcW w:w="3114" w:type="dxa"/>
          </w:tcPr>
          <w:p w14:paraId="6C1D39BC" w14:textId="77777777" w:rsidR="00DA1E1E" w:rsidRPr="000F25DB" w:rsidRDefault="00DA1E1E" w:rsidP="00DA1E1E">
            <w:pPr>
              <w:jc w:val="center"/>
              <w:rPr>
                <w:rFonts w:ascii="Arial" w:hAnsi="Arial" w:cs="Arial"/>
                <w:b w:val="0"/>
                <w:sz w:val="18"/>
                <w:szCs w:val="18"/>
              </w:rPr>
            </w:pPr>
            <w:r w:rsidRPr="000F25DB">
              <w:rPr>
                <w:rFonts w:ascii="Arial" w:hAnsi="Arial" w:cs="Arial"/>
                <w:b w:val="0"/>
                <w:sz w:val="18"/>
                <w:szCs w:val="18"/>
              </w:rPr>
              <w:t>40x40 m (estimated)</w:t>
            </w:r>
          </w:p>
        </w:tc>
        <w:tc>
          <w:tcPr>
            <w:tcW w:w="1565" w:type="dxa"/>
          </w:tcPr>
          <w:p w14:paraId="383CD13E" w14:textId="77777777" w:rsidR="00DA1E1E" w:rsidRPr="000F25DB" w:rsidRDefault="00DA1E1E" w:rsidP="00DA1E1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F25DB">
              <w:rPr>
                <w:rFonts w:ascii="Arial" w:hAnsi="Arial" w:cs="Arial"/>
                <w:sz w:val="18"/>
                <w:szCs w:val="18"/>
              </w:rPr>
              <w:t>&lt;25 ns</w:t>
            </w:r>
          </w:p>
        </w:tc>
        <w:tc>
          <w:tcPr>
            <w:tcW w:w="996" w:type="dxa"/>
          </w:tcPr>
          <w:p w14:paraId="1033F963" w14:textId="16912DDB" w:rsidR="00DA1E1E" w:rsidRPr="00EC4B30" w:rsidRDefault="00DA1E1E" w:rsidP="00DA1E1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C4B30">
              <w:rPr>
                <w:rFonts w:ascii="Arial" w:hAnsi="Arial" w:cs="Arial"/>
                <w:sz w:val="18"/>
                <w:szCs w:val="18"/>
              </w:rPr>
              <w:t>[47]</w:t>
            </w:r>
          </w:p>
        </w:tc>
      </w:tr>
      <w:tr w:rsidR="00DA1E1E" w:rsidRPr="00D94252" w14:paraId="04B2B20C" w14:textId="77777777" w:rsidTr="00575BA5">
        <w:trPr>
          <w:cnfStyle w:val="000000100000" w:firstRow="0" w:lastRow="0" w:firstColumn="0" w:lastColumn="0" w:oddVBand="0" w:evenVBand="0" w:oddHBand="1"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3114" w:type="dxa"/>
          </w:tcPr>
          <w:p w14:paraId="6CE67AE1" w14:textId="77777777" w:rsidR="00DA1E1E" w:rsidRPr="000F25DB" w:rsidRDefault="00DA1E1E" w:rsidP="00DA1E1E">
            <w:pPr>
              <w:jc w:val="center"/>
              <w:rPr>
                <w:rFonts w:ascii="Arial" w:hAnsi="Arial" w:cs="Arial"/>
                <w:b w:val="0"/>
                <w:sz w:val="18"/>
                <w:szCs w:val="18"/>
              </w:rPr>
            </w:pPr>
            <w:r w:rsidRPr="000F25DB">
              <w:rPr>
                <w:rFonts w:ascii="Arial" w:hAnsi="Arial" w:cs="Arial"/>
                <w:b w:val="0"/>
                <w:sz w:val="18"/>
                <w:szCs w:val="18"/>
              </w:rPr>
              <w:lastRenderedPageBreak/>
              <w:t>20x50 m (estimated)</w:t>
            </w:r>
          </w:p>
        </w:tc>
        <w:tc>
          <w:tcPr>
            <w:tcW w:w="1565" w:type="dxa"/>
          </w:tcPr>
          <w:p w14:paraId="6104F988" w14:textId="77777777" w:rsidR="00DA1E1E" w:rsidRPr="000F25DB" w:rsidRDefault="00DA1E1E" w:rsidP="00DA1E1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F25DB">
              <w:rPr>
                <w:rFonts w:ascii="Arial" w:hAnsi="Arial" w:cs="Arial"/>
                <w:sz w:val="18"/>
                <w:szCs w:val="18"/>
              </w:rPr>
              <w:t>LOS: 11 ns, NLOS: 22 ns</w:t>
            </w:r>
          </w:p>
        </w:tc>
        <w:tc>
          <w:tcPr>
            <w:tcW w:w="996" w:type="dxa"/>
          </w:tcPr>
          <w:p w14:paraId="16E5B08C" w14:textId="5A98EF6B" w:rsidR="00DA1E1E" w:rsidRPr="00EC4B30" w:rsidRDefault="00DA1E1E" w:rsidP="00DA1E1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C4B30">
              <w:rPr>
                <w:rFonts w:ascii="Arial" w:hAnsi="Arial" w:cs="Arial"/>
                <w:sz w:val="18"/>
                <w:szCs w:val="18"/>
              </w:rPr>
              <w:t>[49]</w:t>
            </w:r>
          </w:p>
        </w:tc>
      </w:tr>
      <w:tr w:rsidR="00DA1E1E" w:rsidRPr="00D94252" w14:paraId="28D96F08" w14:textId="77777777" w:rsidTr="00575BA5">
        <w:trPr>
          <w:trHeight w:val="271"/>
          <w:jc w:val="center"/>
        </w:trPr>
        <w:tc>
          <w:tcPr>
            <w:cnfStyle w:val="001000000000" w:firstRow="0" w:lastRow="0" w:firstColumn="1" w:lastColumn="0" w:oddVBand="0" w:evenVBand="0" w:oddHBand="0" w:evenHBand="0" w:firstRowFirstColumn="0" w:firstRowLastColumn="0" w:lastRowFirstColumn="0" w:lastRowLastColumn="0"/>
            <w:tcW w:w="3114" w:type="dxa"/>
          </w:tcPr>
          <w:p w14:paraId="566518E6" w14:textId="77777777" w:rsidR="00DA1E1E" w:rsidRPr="000F25DB" w:rsidRDefault="00DA1E1E" w:rsidP="00DA1E1E">
            <w:pPr>
              <w:jc w:val="center"/>
              <w:rPr>
                <w:rFonts w:ascii="Arial" w:hAnsi="Arial" w:cs="Arial"/>
                <w:b w:val="0"/>
                <w:sz w:val="18"/>
                <w:szCs w:val="18"/>
              </w:rPr>
            </w:pPr>
            <w:r w:rsidRPr="000F25DB">
              <w:rPr>
                <w:rFonts w:ascii="Arial" w:hAnsi="Arial" w:cs="Arial"/>
                <w:b w:val="0"/>
                <w:sz w:val="18"/>
                <w:szCs w:val="18"/>
              </w:rPr>
              <w:t>29x15x7.3 m</w:t>
            </w:r>
          </w:p>
        </w:tc>
        <w:tc>
          <w:tcPr>
            <w:tcW w:w="1565" w:type="dxa"/>
          </w:tcPr>
          <w:p w14:paraId="7F7925A3" w14:textId="77777777" w:rsidR="00DA1E1E" w:rsidRPr="000F25DB" w:rsidRDefault="00DA1E1E" w:rsidP="00DA1E1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F25DB">
              <w:rPr>
                <w:rFonts w:ascii="Arial" w:hAnsi="Arial" w:cs="Arial"/>
                <w:sz w:val="18"/>
                <w:szCs w:val="18"/>
              </w:rPr>
              <w:t>LOS: 20-30 ns, NLOS: 30-35 ns</w:t>
            </w:r>
          </w:p>
        </w:tc>
        <w:tc>
          <w:tcPr>
            <w:tcW w:w="996" w:type="dxa"/>
          </w:tcPr>
          <w:p w14:paraId="65A5E89B" w14:textId="3825B2F0" w:rsidR="00DA1E1E" w:rsidRPr="00EC4B30" w:rsidRDefault="00DA1E1E" w:rsidP="00DA1E1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C4B30">
              <w:rPr>
                <w:rFonts w:ascii="Arial" w:hAnsi="Arial" w:cs="Arial"/>
                <w:sz w:val="18"/>
                <w:szCs w:val="18"/>
              </w:rPr>
              <w:t>[53]</w:t>
            </w:r>
          </w:p>
        </w:tc>
      </w:tr>
      <w:tr w:rsidR="00DA1E1E" w:rsidRPr="00D94252" w14:paraId="1BEFD4B6" w14:textId="77777777" w:rsidTr="00575BA5">
        <w:trPr>
          <w:cnfStyle w:val="000000100000" w:firstRow="0" w:lastRow="0" w:firstColumn="0" w:lastColumn="0" w:oddVBand="0" w:evenVBand="0" w:oddHBand="1"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3114" w:type="dxa"/>
          </w:tcPr>
          <w:p w14:paraId="38854EE3" w14:textId="77777777" w:rsidR="00DA1E1E" w:rsidRPr="000F25DB" w:rsidRDefault="00DA1E1E" w:rsidP="00DA1E1E">
            <w:pPr>
              <w:jc w:val="center"/>
              <w:rPr>
                <w:rFonts w:ascii="Arial" w:hAnsi="Arial" w:cs="Arial"/>
                <w:b w:val="0"/>
                <w:sz w:val="18"/>
                <w:szCs w:val="18"/>
              </w:rPr>
            </w:pPr>
            <w:r w:rsidRPr="000F25DB">
              <w:rPr>
                <w:rFonts w:ascii="Arial" w:hAnsi="Arial" w:cs="Arial"/>
                <w:b w:val="0"/>
              </w:rPr>
              <w:t>16x45x10 m</w:t>
            </w:r>
          </w:p>
        </w:tc>
        <w:tc>
          <w:tcPr>
            <w:tcW w:w="1565" w:type="dxa"/>
          </w:tcPr>
          <w:p w14:paraId="6D303128" w14:textId="77777777" w:rsidR="00DA1E1E" w:rsidRPr="000F25DB" w:rsidRDefault="00DA1E1E" w:rsidP="00DA1E1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F25DB">
              <w:rPr>
                <w:rFonts w:ascii="Arial" w:hAnsi="Arial" w:cs="Arial"/>
              </w:rPr>
              <w:t>30-105 ns</w:t>
            </w:r>
          </w:p>
        </w:tc>
        <w:tc>
          <w:tcPr>
            <w:tcW w:w="996" w:type="dxa"/>
          </w:tcPr>
          <w:p w14:paraId="6CDAAB70" w14:textId="194E7D94" w:rsidR="00DA1E1E" w:rsidRPr="00EC4B30" w:rsidRDefault="00DA1E1E" w:rsidP="00DA1E1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C4B30">
              <w:rPr>
                <w:rFonts w:ascii="Arial" w:hAnsi="Arial" w:cs="Arial"/>
                <w:sz w:val="18"/>
                <w:szCs w:val="18"/>
              </w:rPr>
              <w:t>[55]</w:t>
            </w:r>
          </w:p>
        </w:tc>
      </w:tr>
      <w:tr w:rsidR="00DA1E1E" w:rsidRPr="00D94252" w14:paraId="0A170268" w14:textId="77777777" w:rsidTr="00575BA5">
        <w:trPr>
          <w:trHeight w:val="271"/>
          <w:jc w:val="center"/>
        </w:trPr>
        <w:tc>
          <w:tcPr>
            <w:cnfStyle w:val="001000000000" w:firstRow="0" w:lastRow="0" w:firstColumn="1" w:lastColumn="0" w:oddVBand="0" w:evenVBand="0" w:oddHBand="0" w:evenHBand="0" w:firstRowFirstColumn="0" w:firstRowLastColumn="0" w:lastRowFirstColumn="0" w:lastRowLastColumn="0"/>
            <w:tcW w:w="3114" w:type="dxa"/>
          </w:tcPr>
          <w:p w14:paraId="5AC008AE" w14:textId="77777777" w:rsidR="00DA1E1E" w:rsidRPr="000F25DB" w:rsidRDefault="00DA1E1E" w:rsidP="00DA1E1E">
            <w:pPr>
              <w:jc w:val="center"/>
              <w:rPr>
                <w:rFonts w:ascii="Arial" w:hAnsi="Arial" w:cs="Arial"/>
                <w:b w:val="0"/>
                <w:sz w:val="18"/>
                <w:szCs w:val="18"/>
              </w:rPr>
            </w:pPr>
            <w:r w:rsidRPr="000F25DB">
              <w:rPr>
                <w:rFonts w:ascii="Arial" w:hAnsi="Arial" w:cs="Arial"/>
                <w:b w:val="0"/>
              </w:rPr>
              <w:t>40x20x3 m</w:t>
            </w:r>
          </w:p>
        </w:tc>
        <w:tc>
          <w:tcPr>
            <w:tcW w:w="1565" w:type="dxa"/>
          </w:tcPr>
          <w:p w14:paraId="1419EEC1" w14:textId="77777777" w:rsidR="00DA1E1E" w:rsidRDefault="00DA1E1E" w:rsidP="00DA1E1E">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0F25DB">
              <w:rPr>
                <w:rFonts w:ascii="Arial" w:hAnsi="Arial" w:cs="Arial"/>
              </w:rPr>
              <w:t>LOS: &lt;10 ns</w:t>
            </w:r>
          </w:p>
          <w:p w14:paraId="41E91909" w14:textId="77777777" w:rsidR="00DA1E1E" w:rsidRPr="000F25DB" w:rsidRDefault="00DA1E1E" w:rsidP="00DA1E1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rPr>
              <w:t>NLOS: &lt;50 ns</w:t>
            </w:r>
          </w:p>
        </w:tc>
        <w:tc>
          <w:tcPr>
            <w:tcW w:w="996" w:type="dxa"/>
          </w:tcPr>
          <w:p w14:paraId="26724D95" w14:textId="733448D1" w:rsidR="00DA1E1E" w:rsidRPr="00EC4B30" w:rsidRDefault="00DA1E1E" w:rsidP="00DA1E1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C4B30">
              <w:rPr>
                <w:rFonts w:ascii="Arial" w:hAnsi="Arial" w:cs="Arial"/>
                <w:sz w:val="18"/>
                <w:szCs w:val="18"/>
              </w:rPr>
              <w:t>[60]</w:t>
            </w:r>
          </w:p>
        </w:tc>
      </w:tr>
    </w:tbl>
    <w:p w14:paraId="2FC408E1" w14:textId="77777777" w:rsidR="008D0B62" w:rsidRDefault="008D0B62" w:rsidP="008D0B62">
      <w:pPr>
        <w:pStyle w:val="BodyText"/>
      </w:pPr>
    </w:p>
    <w:p w14:paraId="0E9562F4" w14:textId="77777777" w:rsidR="008D0B62" w:rsidRDefault="008D0B62" w:rsidP="008D0B62">
      <w:pPr>
        <w:pStyle w:val="BodyText"/>
      </w:pPr>
      <w:r w:rsidRPr="006C1BF9">
        <w:rPr>
          <w:noProof/>
        </w:rPr>
        <w:drawing>
          <wp:inline distT="0" distB="0" distL="0" distR="0" wp14:anchorId="264E5B19" wp14:editId="27099E42">
            <wp:extent cx="5324475" cy="3990975"/>
            <wp:effectExtent l="0" t="0" r="0" b="9525"/>
            <wp:docPr id="1155226979" name="Picture 1155226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1401DB7F" w14:textId="43D366FF" w:rsidR="008D0B62" w:rsidRPr="00A21518" w:rsidRDefault="00E86D92" w:rsidP="00E86D92">
      <w:pPr>
        <w:pStyle w:val="TH"/>
        <w:rPr>
          <w:lang w:val="en-US"/>
        </w:rPr>
      </w:pPr>
      <w:bookmarkStart w:id="11" w:name="_Ref1129323"/>
      <w:r>
        <w:t xml:space="preserve">Figure </w:t>
      </w:r>
      <w:r w:rsidR="00A15330">
        <w:rPr>
          <w:noProof/>
        </w:rPr>
        <w:fldChar w:fldCharType="begin"/>
      </w:r>
      <w:r w:rsidR="00A15330">
        <w:rPr>
          <w:noProof/>
        </w:rPr>
        <w:instrText xml:space="preserve"> SEQ Figure \* ARABIC </w:instrText>
      </w:r>
      <w:r w:rsidR="00A15330">
        <w:rPr>
          <w:noProof/>
        </w:rPr>
        <w:fldChar w:fldCharType="separate"/>
      </w:r>
      <w:r w:rsidR="00337D0C">
        <w:rPr>
          <w:noProof/>
        </w:rPr>
        <w:t>4</w:t>
      </w:r>
      <w:r w:rsidR="00A15330">
        <w:rPr>
          <w:noProof/>
        </w:rPr>
        <w:fldChar w:fldCharType="end"/>
      </w:r>
      <w:bookmarkEnd w:id="11"/>
      <w:r>
        <w:tab/>
      </w:r>
      <w:r w:rsidR="008D0B62">
        <w:t>Maximum observed rms delay spread vs room volume. Data samples taken from</w:t>
      </w:r>
      <w:r w:rsidR="008D0B62" w:rsidRPr="000F25DB">
        <w:rPr>
          <w:lang w:val="en-US"/>
        </w:rPr>
        <w:t xml:space="preserve"> the</w:t>
      </w:r>
      <w:r w:rsidR="008D0B62">
        <w:rPr>
          <w:lang w:val="en-US"/>
        </w:rPr>
        <w:t xml:space="preserve"> references in</w:t>
      </w:r>
      <w:r w:rsidR="008D0B62">
        <w:t xml:space="preserve"> </w:t>
      </w:r>
      <w:r w:rsidR="008D0B62">
        <w:fldChar w:fldCharType="begin"/>
      </w:r>
      <w:r w:rsidR="008D0B62">
        <w:instrText xml:space="preserve"> REF _Ref528927884 \h </w:instrText>
      </w:r>
      <w:r w:rsidR="00983049">
        <w:instrText xml:space="preserve"> \* MERGEFORMAT </w:instrText>
      </w:r>
      <w:r w:rsidR="008D0B62">
        <w:fldChar w:fldCharType="separate"/>
      </w:r>
      <w:r w:rsidR="00337D0C" w:rsidRPr="00D94252">
        <w:rPr>
          <w:rFonts w:cs="Arial"/>
          <w:lang w:val="en-US"/>
        </w:rPr>
        <w:t xml:space="preserve">Table </w:t>
      </w:r>
      <w:r w:rsidR="00337D0C">
        <w:rPr>
          <w:rFonts w:cs="Arial"/>
          <w:noProof/>
          <w:lang w:val="en-US"/>
        </w:rPr>
        <w:t>2</w:t>
      </w:r>
      <w:r w:rsidR="008D0B62">
        <w:fldChar w:fldCharType="end"/>
      </w:r>
      <w:r w:rsidR="008D0B62">
        <w:t xml:space="preserve"> with some estimation of volume in case of insufficient information. The red curve represents an approximate upper bound.</w:t>
      </w:r>
    </w:p>
    <w:p w14:paraId="11FAD4FF" w14:textId="7B8C2010" w:rsidR="000759C7" w:rsidRDefault="00F643F3" w:rsidP="00A04F49">
      <w:pPr>
        <w:pStyle w:val="BodyText"/>
        <w:rPr>
          <w:lang w:val="en-US"/>
        </w:rPr>
      </w:pPr>
      <w:r>
        <w:rPr>
          <w:lang w:val="en-US"/>
        </w:rPr>
        <w:t>Published results on o</w:t>
      </w:r>
      <w:r w:rsidR="008A7988">
        <w:rPr>
          <w:lang w:val="en-US"/>
        </w:rPr>
        <w:t xml:space="preserve">ther fast fading </w:t>
      </w:r>
      <w:r w:rsidR="00A47699">
        <w:rPr>
          <w:lang w:val="en-US"/>
        </w:rPr>
        <w:t>parameter</w:t>
      </w:r>
      <w:r w:rsidR="009A3135">
        <w:rPr>
          <w:lang w:val="en-US"/>
        </w:rPr>
        <w:t>s such as angular spread</w:t>
      </w:r>
      <w:r>
        <w:rPr>
          <w:lang w:val="en-US"/>
        </w:rPr>
        <w:t xml:space="preserve">, </w:t>
      </w:r>
      <w:proofErr w:type="spellStart"/>
      <w:r>
        <w:rPr>
          <w:lang w:val="en-US"/>
        </w:rPr>
        <w:t>Ricean</w:t>
      </w:r>
      <w:proofErr w:type="spellEnd"/>
      <w:r>
        <w:rPr>
          <w:lang w:val="en-US"/>
        </w:rPr>
        <w:t xml:space="preserve"> K-factor, and XPR are also </w:t>
      </w:r>
      <w:r w:rsidR="00DD0926">
        <w:rPr>
          <w:lang w:val="en-US"/>
        </w:rPr>
        <w:t xml:space="preserve">summarized in </w:t>
      </w:r>
      <w:r w:rsidR="00DD0926">
        <w:rPr>
          <w:lang w:val="en-US"/>
        </w:rPr>
        <w:fldChar w:fldCharType="begin"/>
      </w:r>
      <w:r w:rsidR="00DD0926">
        <w:rPr>
          <w:lang w:val="en-US"/>
        </w:rPr>
        <w:instrText xml:space="preserve"> REF _Ref1133648 \r \h </w:instrText>
      </w:r>
      <w:r w:rsidR="00DD0926">
        <w:rPr>
          <w:lang w:val="en-US"/>
        </w:rPr>
      </w:r>
      <w:r w:rsidR="00DD0926">
        <w:rPr>
          <w:lang w:val="en-US"/>
        </w:rPr>
        <w:fldChar w:fldCharType="separate"/>
      </w:r>
      <w:r w:rsidR="00337D0C">
        <w:rPr>
          <w:lang w:val="en-US"/>
        </w:rPr>
        <w:t>[1]</w:t>
      </w:r>
      <w:r w:rsidR="00DD0926">
        <w:rPr>
          <w:lang w:val="en-US"/>
        </w:rPr>
        <w:fldChar w:fldCharType="end"/>
      </w:r>
      <w:r w:rsidR="00DD0926">
        <w:rPr>
          <w:lang w:val="en-US"/>
        </w:rPr>
        <w:t xml:space="preserve">. </w:t>
      </w:r>
      <w:r w:rsidR="00947928">
        <w:rPr>
          <w:lang w:val="en-US"/>
        </w:rPr>
        <w:t xml:space="preserve">These results should be considered when </w:t>
      </w:r>
      <w:r w:rsidR="00187595">
        <w:rPr>
          <w:lang w:val="en-US"/>
        </w:rPr>
        <w:t xml:space="preserve">deciding on the channel model parameters. </w:t>
      </w:r>
    </w:p>
    <w:p w14:paraId="25EEF5B4" w14:textId="7E459709" w:rsidR="00C5681C" w:rsidRPr="00C5681C" w:rsidRDefault="00C5681C" w:rsidP="00C5681C">
      <w:pPr>
        <w:pStyle w:val="Heading2"/>
        <w:rPr>
          <w:lang w:val="en-US"/>
        </w:rPr>
      </w:pPr>
      <w:r w:rsidRPr="00C5681C">
        <w:rPr>
          <w:lang w:val="en-US"/>
        </w:rPr>
        <w:t>2.</w:t>
      </w:r>
      <w:r w:rsidR="00205AE7">
        <w:rPr>
          <w:lang w:val="en-US"/>
        </w:rPr>
        <w:t>5</w:t>
      </w:r>
      <w:r w:rsidRPr="00C5681C">
        <w:rPr>
          <w:lang w:val="en-US"/>
        </w:rPr>
        <w:tab/>
      </w:r>
      <w:r>
        <w:rPr>
          <w:lang w:val="en-US"/>
        </w:rPr>
        <w:t>Additional modeling components</w:t>
      </w:r>
    </w:p>
    <w:p w14:paraId="414B1E5A" w14:textId="7EE5876C" w:rsidR="007E478A" w:rsidRDefault="0019014E" w:rsidP="00C5681C">
      <w:pPr>
        <w:pStyle w:val="BodyText"/>
        <w:rPr>
          <w:lang w:val="en-US"/>
        </w:rPr>
      </w:pPr>
      <w:r>
        <w:rPr>
          <w:lang w:val="en-US"/>
        </w:rPr>
        <w:t xml:space="preserve">Dynamic </w:t>
      </w:r>
      <w:r w:rsidR="00A837BC">
        <w:rPr>
          <w:lang w:val="en-US"/>
        </w:rPr>
        <w:t xml:space="preserve">changes in the channel due to mobility with respect to fixed </w:t>
      </w:r>
      <w:proofErr w:type="spellStart"/>
      <w:r w:rsidR="00A837BC">
        <w:rPr>
          <w:lang w:val="en-US"/>
        </w:rPr>
        <w:t>scatterers</w:t>
      </w:r>
      <w:proofErr w:type="spellEnd"/>
      <w:r w:rsidR="00A837BC">
        <w:rPr>
          <w:lang w:val="en-US"/>
        </w:rPr>
        <w:t xml:space="preserve"> are </w:t>
      </w:r>
      <w:r w:rsidR="009C3A20">
        <w:rPr>
          <w:lang w:val="en-US"/>
        </w:rPr>
        <w:t xml:space="preserve">already </w:t>
      </w:r>
      <w:r w:rsidR="00A837BC">
        <w:rPr>
          <w:lang w:val="en-US"/>
        </w:rPr>
        <w:t xml:space="preserve">captured in the baseline model of 38.901. </w:t>
      </w:r>
      <w:r w:rsidR="00F2700E">
        <w:rPr>
          <w:lang w:val="en-US"/>
        </w:rPr>
        <w:t>Smooth and realistic t</w:t>
      </w:r>
      <w:r w:rsidR="00AF2DF5">
        <w:rPr>
          <w:lang w:val="en-US"/>
        </w:rPr>
        <w:t xml:space="preserve">ransitions between </w:t>
      </w:r>
      <w:r w:rsidR="008873DC">
        <w:rPr>
          <w:lang w:val="en-US"/>
        </w:rPr>
        <w:t xml:space="preserve">LOS </w:t>
      </w:r>
      <w:r w:rsidR="00AF2DF5">
        <w:rPr>
          <w:lang w:val="en-US"/>
        </w:rPr>
        <w:t>and</w:t>
      </w:r>
      <w:r w:rsidR="008873DC">
        <w:rPr>
          <w:lang w:val="en-US"/>
        </w:rPr>
        <w:t xml:space="preserve"> NLOS </w:t>
      </w:r>
      <w:r w:rsidR="00AF2DF5">
        <w:rPr>
          <w:lang w:val="en-US"/>
        </w:rPr>
        <w:t>states</w:t>
      </w:r>
      <w:r w:rsidR="008873DC">
        <w:rPr>
          <w:lang w:val="en-US"/>
        </w:rPr>
        <w:t xml:space="preserve"> may be modeled </w:t>
      </w:r>
      <w:r w:rsidR="00F30007">
        <w:rPr>
          <w:lang w:val="en-US"/>
        </w:rPr>
        <w:t xml:space="preserve">using the </w:t>
      </w:r>
      <w:r w:rsidR="00862237">
        <w:rPr>
          <w:lang w:val="en-US"/>
        </w:rPr>
        <w:t xml:space="preserve">“soft LOS” within the </w:t>
      </w:r>
      <w:r w:rsidR="00F30007">
        <w:rPr>
          <w:lang w:val="en-US"/>
        </w:rPr>
        <w:t xml:space="preserve">spatial consistency framework as described in clause 7.6.3.3 in 38.901. </w:t>
      </w:r>
      <w:r w:rsidR="009C3A20">
        <w:rPr>
          <w:lang w:val="en-US"/>
        </w:rPr>
        <w:t xml:space="preserve">The speed of such transitions </w:t>
      </w:r>
      <w:r w:rsidR="004279F4">
        <w:rPr>
          <w:lang w:val="en-US"/>
        </w:rPr>
        <w:t>is</w:t>
      </w:r>
      <w:r w:rsidR="009C3A20">
        <w:rPr>
          <w:lang w:val="en-US"/>
        </w:rPr>
        <w:t xml:space="preserve"> determined from the wavelength and from correlation distance parameter</w:t>
      </w:r>
      <w:r w:rsidR="005B3846">
        <w:rPr>
          <w:lang w:val="en-US"/>
        </w:rPr>
        <w:t>s</w:t>
      </w:r>
      <w:r w:rsidR="009C3A20">
        <w:rPr>
          <w:lang w:val="en-US"/>
        </w:rPr>
        <w:t xml:space="preserve"> as defined in Table 7.6.3.1-2. </w:t>
      </w:r>
      <w:r w:rsidR="00B11828">
        <w:rPr>
          <w:lang w:val="en-US"/>
        </w:rPr>
        <w:t xml:space="preserve">For the indoor industrial scenario, </w:t>
      </w:r>
      <w:r w:rsidR="005B3846">
        <w:rPr>
          <w:lang w:val="en-US"/>
        </w:rPr>
        <w:t>these correlation distance parameters should also be studied and parameterized.</w:t>
      </w:r>
    </w:p>
    <w:p w14:paraId="2193DEB7" w14:textId="0DBFC9A9" w:rsidR="005B3846" w:rsidRPr="00A04F49" w:rsidRDefault="00E80F70" w:rsidP="005B3846">
      <w:pPr>
        <w:pStyle w:val="Proposal"/>
      </w:pPr>
      <w:bookmarkStart w:id="12" w:name="_Toc1152724"/>
      <w:r>
        <w:t>Define correlation distance parameters for the indoor industrial scenario to be able to apply the spatial consistency modelling of 38.901</w:t>
      </w:r>
      <w:r w:rsidR="00EF1910">
        <w:t>, including soft LOS</w:t>
      </w:r>
      <w:r w:rsidR="005B3846">
        <w:t xml:space="preserve"> </w:t>
      </w:r>
      <w:r w:rsidR="006C3C1B">
        <w:t>tra</w:t>
      </w:r>
      <w:r w:rsidR="00FA70B2">
        <w:t>n</w:t>
      </w:r>
      <w:r w:rsidR="006C3C1B">
        <w:t>sitions</w:t>
      </w:r>
      <w:bookmarkEnd w:id="12"/>
    </w:p>
    <w:p w14:paraId="7A215A9B" w14:textId="6C9DE085" w:rsidR="005B3846" w:rsidRPr="005B3846" w:rsidRDefault="005B3846" w:rsidP="00C5681C">
      <w:pPr>
        <w:pStyle w:val="BodyText"/>
      </w:pPr>
    </w:p>
    <w:p w14:paraId="7FBB4406" w14:textId="77777777" w:rsidR="005B3846" w:rsidRDefault="005B3846" w:rsidP="00C5681C">
      <w:pPr>
        <w:pStyle w:val="BodyText"/>
        <w:rPr>
          <w:lang w:val="en-US"/>
        </w:rPr>
      </w:pPr>
    </w:p>
    <w:p w14:paraId="1D6C3D70" w14:textId="4ECED30B" w:rsidR="00AF71F1" w:rsidRDefault="00AF71F1" w:rsidP="00C5681C">
      <w:pPr>
        <w:pStyle w:val="BodyText"/>
        <w:rPr>
          <w:lang w:val="en-US"/>
        </w:rPr>
      </w:pPr>
      <w:r>
        <w:rPr>
          <w:lang w:val="en-US"/>
        </w:rPr>
        <w:lastRenderedPageBreak/>
        <w:t xml:space="preserve">Additional dynamic changes in the channel may occur due to </w:t>
      </w:r>
      <w:r w:rsidR="00295C33">
        <w:rPr>
          <w:lang w:val="en-US"/>
        </w:rPr>
        <w:t xml:space="preserve">blocking by </w:t>
      </w:r>
      <w:r w:rsidR="003B4F30">
        <w:rPr>
          <w:lang w:val="en-US"/>
        </w:rPr>
        <w:t xml:space="preserve">e.g. moving equipment parts. We propose to </w:t>
      </w:r>
      <w:r w:rsidR="000148BA">
        <w:rPr>
          <w:lang w:val="en-US"/>
        </w:rPr>
        <w:t>utilize Blockage model B of 38.901 to account for such events</w:t>
      </w:r>
      <w:r w:rsidR="00AB1586">
        <w:rPr>
          <w:lang w:val="en-US"/>
        </w:rPr>
        <w:t xml:space="preserve">, where the blocking object is represented by a rectangular screen which acts as a spatial filter that attenuates MPCs </w:t>
      </w:r>
      <w:r w:rsidR="005723E8">
        <w:rPr>
          <w:lang w:val="en-US"/>
        </w:rPr>
        <w:t xml:space="preserve">in certain directions. To support the use of this model in the indoor industrial scenario, we propose to </w:t>
      </w:r>
      <w:r w:rsidR="00605BA7">
        <w:rPr>
          <w:lang w:val="en-US"/>
        </w:rPr>
        <w:t xml:space="preserve">recommend additional blocker parameters </w:t>
      </w:r>
      <w:r w:rsidR="00087C24">
        <w:rPr>
          <w:lang w:val="en-US"/>
        </w:rPr>
        <w:t xml:space="preserve">representing e.g. an industrial robot or similar. </w:t>
      </w:r>
    </w:p>
    <w:p w14:paraId="4AA2722B" w14:textId="2ACFD174" w:rsidR="00B177D0" w:rsidRPr="00A04F49" w:rsidRDefault="00D92892" w:rsidP="00B177D0">
      <w:pPr>
        <w:pStyle w:val="Proposal"/>
      </w:pPr>
      <w:bookmarkStart w:id="13" w:name="_Toc1152725"/>
      <w:r>
        <w:rPr>
          <w:lang w:val="en-US"/>
        </w:rPr>
        <w:t xml:space="preserve">Define </w:t>
      </w:r>
      <w:r w:rsidR="00B177D0">
        <w:t xml:space="preserve">one or more sets of recommended blocking parameters for </w:t>
      </w:r>
      <w:r w:rsidR="00BB5314">
        <w:t>objects found in an indoor industrial setting, such as industrial robots or AGVs</w:t>
      </w:r>
      <w:r>
        <w:t>.</w:t>
      </w:r>
      <w:bookmarkEnd w:id="13"/>
      <w:r>
        <w:t xml:space="preserve"> </w:t>
      </w:r>
    </w:p>
    <w:p w14:paraId="520DABB0" w14:textId="77777777" w:rsidR="00D92892" w:rsidRDefault="00D92892" w:rsidP="00C5681C">
      <w:pPr>
        <w:pStyle w:val="BodyText"/>
        <w:rPr>
          <w:lang w:val="en-US"/>
        </w:rPr>
      </w:pPr>
    </w:p>
    <w:p w14:paraId="1834EBB3" w14:textId="347A474A" w:rsidR="00EC051F" w:rsidRDefault="00EC051F" w:rsidP="00C5681C">
      <w:pPr>
        <w:pStyle w:val="BodyText"/>
        <w:rPr>
          <w:lang w:val="en-US"/>
        </w:rPr>
      </w:pPr>
      <w:r>
        <w:rPr>
          <w:lang w:val="en-US"/>
        </w:rPr>
        <w:t xml:space="preserve">Absolute time of arrival modeling can be important for e.g. evaluation of positioning using time of arrival techniques. </w:t>
      </w:r>
      <w:r w:rsidR="00393BCC">
        <w:rPr>
          <w:lang w:val="en-US"/>
        </w:rPr>
        <w:t>T</w:t>
      </w:r>
      <w:r w:rsidR="003D4675">
        <w:rPr>
          <w:lang w:val="en-US"/>
        </w:rPr>
        <w:t xml:space="preserve">he existing delay modeling in </w:t>
      </w:r>
      <w:r w:rsidR="00996EF2">
        <w:rPr>
          <w:lang w:val="en-US"/>
        </w:rPr>
        <w:t xml:space="preserve">38.901 normalizes the delays such that the first arriving path has a delay of zero, </w:t>
      </w:r>
      <w:r w:rsidR="00393BCC">
        <w:rPr>
          <w:lang w:val="en-US"/>
        </w:rPr>
        <w:t xml:space="preserve">so </w:t>
      </w:r>
      <w:r w:rsidR="00996EF2">
        <w:rPr>
          <w:lang w:val="en-US"/>
        </w:rPr>
        <w:t xml:space="preserve">it may be necessary to </w:t>
      </w:r>
      <w:r w:rsidR="00C20FF2">
        <w:rPr>
          <w:lang w:val="en-US"/>
        </w:rPr>
        <w:t xml:space="preserve">improve the model. For LOS links, a constant delay </w:t>
      </w:r>
      <w:r w:rsidR="0026473A">
        <w:rPr>
          <w:lang w:val="en-US"/>
        </w:rPr>
        <w:t xml:space="preserve">equal to </w:t>
      </w:r>
      <m:oMath>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0</m:t>
            </m:r>
          </m:sub>
        </m:sSub>
        <m:r>
          <w:rPr>
            <w:rFonts w:ascii="Cambria Math" w:hAnsi="Cambria Math"/>
            <w:lang w:val="en-US"/>
          </w:rPr>
          <m:t>=</m:t>
        </m:r>
        <m:f>
          <m:fPr>
            <m:type m:val="lin"/>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3D</m:t>
                </m:r>
              </m:sub>
            </m:sSub>
          </m:num>
          <m:den>
            <m:r>
              <w:rPr>
                <w:rFonts w:ascii="Cambria Math" w:hAnsi="Cambria Math"/>
                <w:lang w:val="en-US"/>
              </w:rPr>
              <m:t>c</m:t>
            </m:r>
          </m:den>
        </m:f>
      </m:oMath>
      <w:r w:rsidR="00F5073D">
        <w:rPr>
          <w:lang w:val="en-US"/>
        </w:rPr>
        <w:t xml:space="preserve"> should be added to all </w:t>
      </w:r>
      <w:r w:rsidR="00393BCC">
        <w:rPr>
          <w:lang w:val="en-US"/>
        </w:rPr>
        <w:t>MPCs</w:t>
      </w:r>
      <w:r w:rsidR="00BA314F">
        <w:rPr>
          <w:lang w:val="en-US"/>
        </w:rPr>
        <w:t xml:space="preserve"> to account for the time of flight of the radio waves</w:t>
      </w:r>
      <w:r w:rsidR="00393BCC">
        <w:rPr>
          <w:lang w:val="en-US"/>
        </w:rPr>
        <w:t xml:space="preserve">. </w:t>
      </w:r>
      <w:r w:rsidR="00175EC4">
        <w:rPr>
          <w:lang w:val="en-US"/>
        </w:rPr>
        <w:t xml:space="preserve">In NLOS, an additional delay may be expected since the direct path is often completely suppressed by blocking metallic objects. </w:t>
      </w:r>
      <w:r w:rsidR="00242ABD">
        <w:rPr>
          <w:lang w:val="en-US"/>
        </w:rPr>
        <w:t xml:space="preserve">Further study using ray-tracing or carefully </w:t>
      </w:r>
      <w:r w:rsidR="00CC77C9">
        <w:rPr>
          <w:lang w:val="en-US"/>
        </w:rPr>
        <w:t>time-</w:t>
      </w:r>
      <w:r w:rsidR="00242ABD">
        <w:rPr>
          <w:lang w:val="en-US"/>
        </w:rPr>
        <w:t xml:space="preserve">synchronized measurements may be needed to characterize this additional delay. </w:t>
      </w:r>
    </w:p>
    <w:p w14:paraId="5E6C5CAB" w14:textId="77777777" w:rsidR="00A25408" w:rsidRDefault="00A25408" w:rsidP="00242ABD">
      <w:pPr>
        <w:pStyle w:val="Proposal"/>
      </w:pPr>
      <w:bookmarkStart w:id="14" w:name="_Toc1152726"/>
      <w:r>
        <w:t>Absolute time or arrival should be modelled by adding an additional delay to all MPCs</w:t>
      </w:r>
      <w:bookmarkEnd w:id="14"/>
    </w:p>
    <w:p w14:paraId="3DF0A1D3" w14:textId="3E09FC8F" w:rsidR="00242ABD" w:rsidRPr="00DE09C8" w:rsidRDefault="00242ABD" w:rsidP="00DE09C8">
      <w:pPr>
        <w:pStyle w:val="Proposal"/>
        <w:numPr>
          <w:ilvl w:val="2"/>
          <w:numId w:val="3"/>
        </w:numPr>
      </w:pPr>
      <w:bookmarkStart w:id="15" w:name="_Toc1152727"/>
      <w:r>
        <w:t xml:space="preserve">For </w:t>
      </w:r>
      <w:r w:rsidR="00DE09C8">
        <w:t>LOS links, this additional delay should be</w:t>
      </w:r>
      <w:r w:rsidR="00EB5714">
        <w:t xml:space="preserve"> </w:t>
      </w:r>
      <w:r w:rsidR="00483ED6" w:rsidRPr="00483ED6">
        <w:rPr>
          <w:rFonts w:ascii="Symbol" w:hAnsi="Symbol"/>
        </w:rPr>
        <w:t></w:t>
      </w:r>
      <w:r w:rsidR="00483ED6" w:rsidRPr="00483ED6">
        <w:rPr>
          <w:vertAlign w:val="subscript"/>
        </w:rPr>
        <w:t>0</w:t>
      </w:r>
      <w:r w:rsidR="00483ED6">
        <w:t>=d</w:t>
      </w:r>
      <w:r w:rsidR="00483ED6" w:rsidRPr="00483ED6">
        <w:rPr>
          <w:vertAlign w:val="subscript"/>
        </w:rPr>
        <w:t>3D</w:t>
      </w:r>
      <w:r w:rsidR="00483ED6">
        <w:t>/c</w:t>
      </w:r>
      <w:bookmarkEnd w:id="15"/>
    </w:p>
    <w:p w14:paraId="0DB4C1E4" w14:textId="508C2A76" w:rsidR="00DE09C8" w:rsidRPr="00DE09C8" w:rsidRDefault="00DE09C8" w:rsidP="00DE09C8">
      <w:pPr>
        <w:pStyle w:val="Proposal"/>
        <w:numPr>
          <w:ilvl w:val="2"/>
          <w:numId w:val="3"/>
        </w:numPr>
      </w:pPr>
      <w:bookmarkStart w:id="16" w:name="_Toc1152728"/>
      <w:r>
        <w:t>For NLOS links, this additional delay should be</w:t>
      </w:r>
      <w:r w:rsidR="007C3685">
        <w:t xml:space="preserve"> </w:t>
      </w:r>
      <w:r w:rsidR="007C3685" w:rsidRPr="00483ED6">
        <w:rPr>
          <w:rFonts w:ascii="Symbol" w:hAnsi="Symbol"/>
        </w:rPr>
        <w:t></w:t>
      </w:r>
      <w:r w:rsidR="007C3685" w:rsidRPr="00483ED6">
        <w:rPr>
          <w:vertAlign w:val="subscript"/>
        </w:rPr>
        <w:t>0</w:t>
      </w:r>
      <w:r w:rsidR="007C3685">
        <w:t>=d</w:t>
      </w:r>
      <w:r w:rsidR="007C3685" w:rsidRPr="00483ED6">
        <w:rPr>
          <w:vertAlign w:val="subscript"/>
        </w:rPr>
        <w:t>3D</w:t>
      </w:r>
      <w:r w:rsidR="007C3685">
        <w:t>/c+</w:t>
      </w:r>
      <w:r w:rsidR="007C3685" w:rsidRPr="007C3685">
        <w:rPr>
          <w:rFonts w:ascii="Symbol" w:hAnsi="Symbol"/>
        </w:rPr>
        <w:t></w:t>
      </w:r>
      <w:r w:rsidR="007C3685" w:rsidRPr="007C3685">
        <w:rPr>
          <w:rFonts w:ascii="Symbol" w:hAnsi="Symbol"/>
        </w:rPr>
        <w:t></w:t>
      </w:r>
      <w:r w:rsidR="00847735">
        <w:rPr>
          <w:rFonts w:ascii="Symbol" w:hAnsi="Symbol"/>
        </w:rPr>
        <w:t></w:t>
      </w:r>
      <w:r w:rsidR="00847735">
        <w:rPr>
          <w:rFonts w:ascii="Symbol" w:hAnsi="Symbol"/>
        </w:rPr>
        <w:t></w:t>
      </w:r>
      <w:r w:rsidR="00847735" w:rsidRPr="007C3685">
        <w:rPr>
          <w:rFonts w:ascii="Symbol" w:hAnsi="Symbol"/>
        </w:rPr>
        <w:t></w:t>
      </w:r>
      <w:r w:rsidR="00847735" w:rsidRPr="007C3685">
        <w:rPr>
          <w:rFonts w:ascii="Symbol" w:hAnsi="Symbol"/>
        </w:rPr>
        <w:t></w:t>
      </w:r>
      <w:r w:rsidR="00847735">
        <w:rPr>
          <w:rFonts w:ascii="Symbol" w:hAnsi="Symbol"/>
        </w:rPr>
        <w:t></w:t>
      </w:r>
      <w:r w:rsidR="00847735">
        <w:rPr>
          <w:rFonts w:ascii="Symbol" w:hAnsi="Symbol"/>
        </w:rPr>
        <w:t></w:t>
      </w:r>
      <w:r w:rsidR="00BA35ED">
        <w:t>, where</w:t>
      </w:r>
      <w:r w:rsidR="007C3685">
        <w:t xml:space="preserve"> </w:t>
      </w:r>
      <w:r w:rsidR="00847735">
        <w:t xml:space="preserve">the </w:t>
      </w:r>
      <w:proofErr w:type="spellStart"/>
      <w:r w:rsidR="00847735">
        <w:t>modeling</w:t>
      </w:r>
      <w:proofErr w:type="spellEnd"/>
      <w:r w:rsidR="000440AB">
        <w:t xml:space="preserve"> </w:t>
      </w:r>
      <w:r w:rsidR="00847735">
        <w:t xml:space="preserve">of </w:t>
      </w:r>
      <w:r w:rsidR="00847735" w:rsidRPr="007C3685">
        <w:rPr>
          <w:rFonts w:ascii="Symbol" w:hAnsi="Symbol"/>
        </w:rPr>
        <w:t></w:t>
      </w:r>
      <w:r w:rsidR="00847735" w:rsidRPr="007C3685">
        <w:rPr>
          <w:rFonts w:ascii="Symbol" w:hAnsi="Symbol"/>
        </w:rPr>
        <w:t></w:t>
      </w:r>
      <w:r w:rsidR="00847735">
        <w:rPr>
          <w:rFonts w:ascii="Symbol" w:hAnsi="Symbol"/>
        </w:rPr>
        <w:t></w:t>
      </w:r>
      <w:r w:rsidR="00BA35ED">
        <w:t>is FFS</w:t>
      </w:r>
      <w:bookmarkEnd w:id="16"/>
    </w:p>
    <w:p w14:paraId="7DCAB583" w14:textId="5045E770" w:rsidR="00422354" w:rsidRDefault="00422354" w:rsidP="00C5681C">
      <w:pPr>
        <w:pStyle w:val="BodyText"/>
      </w:pPr>
    </w:p>
    <w:p w14:paraId="7AD7D200" w14:textId="40216044" w:rsidR="00A17882" w:rsidRDefault="00E80B2F" w:rsidP="00C5681C">
      <w:pPr>
        <w:pStyle w:val="BodyText"/>
      </w:pPr>
      <w:r>
        <w:t xml:space="preserve">It has been </w:t>
      </w:r>
      <w:r w:rsidR="00246D63">
        <w:t>observed</w:t>
      </w:r>
      <w:r>
        <w:t xml:space="preserve"> that </w:t>
      </w:r>
      <w:r w:rsidR="00246D63">
        <w:t xml:space="preserve">some </w:t>
      </w:r>
      <w:r w:rsidR="0054542F">
        <w:t xml:space="preserve">industrial </w:t>
      </w:r>
      <w:r w:rsidR="00246D63">
        <w:t>machinery may cause EM interference</w:t>
      </w:r>
      <w:r w:rsidR="002A1165">
        <w:t>, which could appear as non-white noise in the propagation channel</w:t>
      </w:r>
      <w:r w:rsidR="00246D63">
        <w:t xml:space="preserve">. </w:t>
      </w:r>
      <w:r w:rsidR="00DE1BEE">
        <w:t xml:space="preserve">The variance of this noise is expected be dependent on the proximity of the receiver to the interfering machinery. </w:t>
      </w:r>
      <w:r w:rsidR="007D07C9">
        <w:t xml:space="preserve">It is unclear if the characterization and specification of </w:t>
      </w:r>
      <w:r w:rsidR="003874DA">
        <w:t xml:space="preserve">the EM interference source itself falls within the scope of the present study item, but it seems appropriate to </w:t>
      </w:r>
      <w:r w:rsidR="0075204F">
        <w:t xml:space="preserve">consider the modelling of the propagation channel between the interfering equipment and the receiver. </w:t>
      </w:r>
      <w:r w:rsidR="00A3332D">
        <w:t xml:space="preserve">For this, we can simply use the same approach as for </w:t>
      </w:r>
      <w:r w:rsidR="007848F5">
        <w:t xml:space="preserve">regular communication links, i.e. the source of the EM interference is considered as a transmitter with certain </w:t>
      </w:r>
      <w:r w:rsidR="00F16A5C">
        <w:t xml:space="preserve">output power, </w:t>
      </w:r>
      <w:r w:rsidR="007848F5">
        <w:t>spectr</w:t>
      </w:r>
      <w:r w:rsidR="0008387D">
        <w:t>um</w:t>
      </w:r>
      <w:r w:rsidR="007848F5">
        <w:t xml:space="preserve"> characteristics, and effective antenna gain. </w:t>
      </w:r>
      <w:r w:rsidR="004F3653">
        <w:t xml:space="preserve">For interference to the downlink, the interferer-Rx link </w:t>
      </w:r>
      <w:r w:rsidR="006F467F">
        <w:t xml:space="preserve">can likely be represented with a D2D scenario in which both transmitter and receiver are located below the average clutter height. </w:t>
      </w:r>
    </w:p>
    <w:p w14:paraId="314614E7" w14:textId="433FB711" w:rsidR="008C6684" w:rsidRDefault="008C6684" w:rsidP="008C6684">
      <w:pPr>
        <w:pStyle w:val="Proposal"/>
      </w:pPr>
      <w:bookmarkStart w:id="17" w:name="_Toc1152729"/>
      <w:r>
        <w:t xml:space="preserve">Model propagation links between </w:t>
      </w:r>
      <w:r w:rsidR="00462C42">
        <w:t xml:space="preserve">equipment causing EM interference and communication equipment using the same channel model </w:t>
      </w:r>
      <w:r w:rsidR="0087381D">
        <w:t>as for communication links</w:t>
      </w:r>
      <w:bookmarkEnd w:id="17"/>
    </w:p>
    <w:p w14:paraId="7E5ED9BE" w14:textId="0D8155FC" w:rsidR="00134599" w:rsidRPr="00A04F49" w:rsidRDefault="00134599" w:rsidP="00134599">
      <w:pPr>
        <w:pStyle w:val="Proposal"/>
        <w:numPr>
          <w:ilvl w:val="2"/>
          <w:numId w:val="3"/>
        </w:numPr>
      </w:pPr>
      <w:bookmarkStart w:id="18" w:name="_Toc1152730"/>
      <w:r>
        <w:t xml:space="preserve">Note: This may require </w:t>
      </w:r>
      <w:r w:rsidR="00105E04">
        <w:t>a channel model for a D2D scenario where both transmitter and receiver are located below the average clutter height</w:t>
      </w:r>
      <w:bookmarkEnd w:id="18"/>
    </w:p>
    <w:p w14:paraId="3A776612" w14:textId="77777777" w:rsidR="003D71C1" w:rsidRDefault="003D71C1" w:rsidP="00C5681C">
      <w:pPr>
        <w:pStyle w:val="BodyText"/>
        <w:rPr>
          <w:lang w:val="en-US"/>
        </w:rPr>
      </w:pPr>
    </w:p>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445FBC2" w14:textId="5EC11116" w:rsidR="00337D0C"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152717" w:history="1">
        <w:r w:rsidR="00337D0C" w:rsidRPr="00B56461">
          <w:rPr>
            <w:rStyle w:val="Hyperlink"/>
            <w:noProof/>
          </w:rPr>
          <w:t>Observation 1</w:t>
        </w:r>
        <w:r w:rsidR="00337D0C">
          <w:rPr>
            <w:rFonts w:asciiTheme="minorHAnsi" w:eastAsiaTheme="minorEastAsia" w:hAnsiTheme="minorHAnsi" w:cstheme="minorBidi"/>
            <w:b w:val="0"/>
            <w:noProof/>
            <w:sz w:val="22"/>
            <w:szCs w:val="22"/>
            <w:lang w:val="sv-SE" w:eastAsia="sv-SE"/>
          </w:rPr>
          <w:tab/>
        </w:r>
        <w:r w:rsidR="00337D0C" w:rsidRPr="00B56461">
          <w:rPr>
            <w:rStyle w:val="Hyperlink"/>
            <w:noProof/>
          </w:rPr>
          <w:t>The LOS probability is strongly dependent on the clutter density in the industrial scenario</w:t>
        </w:r>
      </w:hyperlink>
    </w:p>
    <w:p w14:paraId="1BD828F4" w14:textId="733E4BF6" w:rsidR="00337D0C" w:rsidRDefault="00F1330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2718" w:history="1">
        <w:r w:rsidR="00337D0C" w:rsidRPr="00B56461">
          <w:rPr>
            <w:rStyle w:val="Hyperlink"/>
            <w:noProof/>
          </w:rPr>
          <w:t>Observation 2</w:t>
        </w:r>
        <w:r w:rsidR="00337D0C">
          <w:rPr>
            <w:rFonts w:asciiTheme="minorHAnsi" w:eastAsiaTheme="minorEastAsia" w:hAnsiTheme="minorHAnsi" w:cstheme="minorBidi"/>
            <w:b w:val="0"/>
            <w:noProof/>
            <w:sz w:val="22"/>
            <w:szCs w:val="22"/>
            <w:lang w:val="sv-SE" w:eastAsia="sv-SE"/>
          </w:rPr>
          <w:tab/>
        </w:r>
        <w:r w:rsidR="00337D0C" w:rsidRPr="00B56461">
          <w:rPr>
            <w:rStyle w:val="Hyperlink"/>
            <w:noProof/>
          </w:rPr>
          <w:t>The rms delay spread increases with increasing factory hall volume</w:t>
        </w:r>
      </w:hyperlink>
    </w:p>
    <w:p w14:paraId="457CE5E8" w14:textId="0F2D348F" w:rsidR="006E1C82" w:rsidRDefault="006F6582" w:rsidP="008E065E">
      <w:pPr>
        <w:pStyle w:val="BodyText"/>
        <w:rPr>
          <w:b/>
          <w:bCs/>
        </w:rPr>
      </w:pPr>
      <w:r>
        <w:rPr>
          <w:b/>
          <w:bCs/>
        </w:rPr>
        <w:fldChar w:fldCharType="end"/>
      </w:r>
    </w:p>
    <w:p w14:paraId="638CBFAF" w14:textId="77777777" w:rsidR="006E1C82" w:rsidRDefault="006E1C82" w:rsidP="008E065E">
      <w:pPr>
        <w:pStyle w:val="BodyText"/>
        <w:rPr>
          <w:b/>
          <w:bCs/>
        </w:rPr>
      </w:pPr>
    </w:p>
    <w:p w14:paraId="29A284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4CBFD56" w14:textId="3F47752C" w:rsidR="00337D0C"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2719" w:history="1">
        <w:r w:rsidR="00337D0C" w:rsidRPr="003635A0">
          <w:rPr>
            <w:rStyle w:val="Hyperlink"/>
            <w:noProof/>
          </w:rPr>
          <w:t>Proposal 1</w:t>
        </w:r>
        <w:r w:rsidR="00337D0C">
          <w:rPr>
            <w:rFonts w:asciiTheme="minorHAnsi" w:eastAsiaTheme="minorEastAsia" w:hAnsiTheme="minorHAnsi" w:cstheme="minorBidi"/>
            <w:b w:val="0"/>
            <w:noProof/>
            <w:sz w:val="22"/>
            <w:szCs w:val="22"/>
            <w:lang w:val="sv-SE" w:eastAsia="sv-SE"/>
          </w:rPr>
          <w:tab/>
        </w:r>
        <w:r w:rsidR="00337D0C" w:rsidRPr="003635A0">
          <w:rPr>
            <w:rStyle w:val="Hyperlink"/>
            <w:noProof/>
          </w:rPr>
          <w:t>Derive a single LOS path loss model by averaging over different measurement campaign, and use this model for all sub-scenarios</w:t>
        </w:r>
      </w:hyperlink>
    </w:p>
    <w:p w14:paraId="70C290A6" w14:textId="10786F13" w:rsidR="00337D0C" w:rsidRDefault="00F1330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2720" w:history="1">
        <w:r w:rsidR="00337D0C" w:rsidRPr="003635A0">
          <w:rPr>
            <w:rStyle w:val="Hyperlink"/>
            <w:noProof/>
          </w:rPr>
          <w:t>Proposal 2</w:t>
        </w:r>
        <w:r w:rsidR="00337D0C">
          <w:rPr>
            <w:rFonts w:asciiTheme="minorHAnsi" w:eastAsiaTheme="minorEastAsia" w:hAnsiTheme="minorHAnsi" w:cstheme="minorBidi"/>
            <w:b w:val="0"/>
            <w:noProof/>
            <w:sz w:val="22"/>
            <w:szCs w:val="22"/>
            <w:lang w:val="sv-SE" w:eastAsia="sv-SE"/>
          </w:rPr>
          <w:tab/>
        </w:r>
        <w:r w:rsidR="00337D0C" w:rsidRPr="003635A0">
          <w:rPr>
            <w:rStyle w:val="Hyperlink"/>
            <w:noProof/>
          </w:rPr>
          <w:t>Derive separate NLOS path loss models for light clutter and heavy clutter factory halls, e.g. by averaging over different corresponding measurement campaigns. Alternatively, make the path loss exponent dependent on the clutter density.</w:t>
        </w:r>
      </w:hyperlink>
    </w:p>
    <w:p w14:paraId="73342A49" w14:textId="6BBD135C" w:rsidR="00337D0C" w:rsidRDefault="00F1330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2721" w:history="1">
        <w:r w:rsidR="00337D0C" w:rsidRPr="003635A0">
          <w:rPr>
            <w:rStyle w:val="Hyperlink"/>
            <w:noProof/>
          </w:rPr>
          <w:t>Proposal 3</w:t>
        </w:r>
        <w:r w:rsidR="00337D0C">
          <w:rPr>
            <w:rFonts w:asciiTheme="minorHAnsi" w:eastAsiaTheme="minorEastAsia" w:hAnsiTheme="minorHAnsi" w:cstheme="minorBidi"/>
            <w:b w:val="0"/>
            <w:noProof/>
            <w:sz w:val="22"/>
            <w:szCs w:val="22"/>
            <w:lang w:val="sv-SE" w:eastAsia="sv-SE"/>
          </w:rPr>
          <w:tab/>
        </w:r>
        <w:r w:rsidR="00337D0C" w:rsidRPr="003635A0">
          <w:rPr>
            <w:rStyle w:val="Hyperlink"/>
            <w:noProof/>
          </w:rPr>
          <w:t>Derive a LOS probability for one or two sub-scenarios differing in their clutter density. Alternatively, formulate a LOS probability function with explicit dependence on the clutter density, and specify one or two typical values in the scenario description.</w:t>
        </w:r>
      </w:hyperlink>
    </w:p>
    <w:p w14:paraId="334727A2" w14:textId="472B5326" w:rsidR="00337D0C" w:rsidRDefault="00F1330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2722" w:history="1">
        <w:r w:rsidR="00337D0C" w:rsidRPr="003635A0">
          <w:rPr>
            <w:rStyle w:val="Hyperlink"/>
            <w:noProof/>
          </w:rPr>
          <w:t>Proposal 4</w:t>
        </w:r>
        <w:r w:rsidR="00337D0C">
          <w:rPr>
            <w:rFonts w:asciiTheme="minorHAnsi" w:eastAsiaTheme="minorEastAsia" w:hAnsiTheme="minorHAnsi" w:cstheme="minorBidi"/>
            <w:b w:val="0"/>
            <w:noProof/>
            <w:sz w:val="22"/>
            <w:szCs w:val="22"/>
            <w:lang w:val="sv-SE" w:eastAsia="sv-SE"/>
          </w:rPr>
          <w:tab/>
        </w:r>
        <w:r w:rsidR="00337D0C" w:rsidRPr="003635A0">
          <w:rPr>
            <w:rStyle w:val="Hyperlink"/>
            <w:noProof/>
          </w:rPr>
          <w:t xml:space="preserve">For O2I penetration loss in the industrial scenario, use </w:t>
        </w:r>
        <w:r w:rsidR="00337D0C" w:rsidRPr="00147F39">
          <w:rPr>
            <w:noProof/>
            <w:position w:val="-12"/>
          </w:rPr>
          <w:object w:dxaOrig="520" w:dyaOrig="360" w14:anchorId="15310651">
            <v:shape id="_x0000_i1027" type="#_x0000_t75" style="width:26.25pt;height:18pt" o:ole="">
              <v:imagedata r:id="rId11" o:title=""/>
            </v:shape>
            <o:OLEObject Type="Embed" ProgID="Equation.3" ShapeID="_x0000_i1027" DrawAspect="Content" ObjectID="_1611765627" r:id="rId15"/>
          </w:object>
        </w:r>
        <w:r w:rsidR="00337D0C" w:rsidRPr="003635A0">
          <w:rPr>
            <w:rStyle w:val="Hyperlink"/>
            <w:noProof/>
          </w:rPr>
          <w:t xml:space="preserve"> and </w:t>
        </w:r>
        <w:r w:rsidR="00337D0C" w:rsidRPr="003635A0">
          <w:rPr>
            <w:rStyle w:val="Hyperlink"/>
            <w:noProof/>
            <w:lang w:eastAsia="ja-JP"/>
          </w:rPr>
          <w:t>σ</w:t>
        </w:r>
        <w:r w:rsidR="00337D0C" w:rsidRPr="003635A0">
          <w:rPr>
            <w:rStyle w:val="Hyperlink"/>
            <w:i/>
            <w:noProof/>
            <w:vertAlign w:val="subscript"/>
          </w:rPr>
          <w:t>P</w:t>
        </w:r>
        <w:r w:rsidR="00337D0C" w:rsidRPr="003635A0">
          <w:rPr>
            <w:rStyle w:val="Hyperlink"/>
            <w:noProof/>
          </w:rPr>
          <w:t xml:space="preserve"> from the high-loss model that already exists in TR 38.901.</w:t>
        </w:r>
      </w:hyperlink>
    </w:p>
    <w:p w14:paraId="4BC84818" w14:textId="7EB7B41D" w:rsidR="00337D0C" w:rsidRDefault="00F1330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2723" w:history="1">
        <w:r w:rsidR="00337D0C" w:rsidRPr="003635A0">
          <w:rPr>
            <w:rStyle w:val="Hyperlink"/>
            <w:noProof/>
          </w:rPr>
          <w:t>Proposal 5</w:t>
        </w:r>
        <w:r w:rsidR="00337D0C">
          <w:rPr>
            <w:rFonts w:asciiTheme="minorHAnsi" w:eastAsiaTheme="minorEastAsia" w:hAnsiTheme="minorHAnsi" w:cstheme="minorBidi"/>
            <w:b w:val="0"/>
            <w:noProof/>
            <w:sz w:val="22"/>
            <w:szCs w:val="22"/>
            <w:lang w:val="sv-SE" w:eastAsia="sv-SE"/>
          </w:rPr>
          <w:tab/>
        </w:r>
        <w:r w:rsidR="00337D0C" w:rsidRPr="003635A0">
          <w:rPr>
            <w:rStyle w:val="Hyperlink"/>
            <w:noProof/>
          </w:rPr>
          <w:t xml:space="preserve">For rms delay spread in the industrial scenario, use a hall volume-dependent </w:t>
        </w:r>
        <w:r w:rsidR="00337D0C" w:rsidRPr="003635A0">
          <w:rPr>
            <w:rStyle w:val="Hyperlink"/>
            <w:rFonts w:ascii="Symbol" w:hAnsi="Symbol"/>
            <w:i/>
            <w:noProof/>
          </w:rPr>
          <w:t></w:t>
        </w:r>
        <w:r w:rsidR="00337D0C" w:rsidRPr="003635A0">
          <w:rPr>
            <w:rStyle w:val="Hyperlink"/>
            <w:noProof/>
            <w:vertAlign w:val="subscript"/>
          </w:rPr>
          <w:t>lgDS</w:t>
        </w:r>
        <w:r w:rsidR="00337D0C" w:rsidRPr="003635A0">
          <w:rPr>
            <w:rStyle w:val="Hyperlink"/>
            <w:noProof/>
          </w:rPr>
          <w:t>.</w:t>
        </w:r>
      </w:hyperlink>
    </w:p>
    <w:p w14:paraId="5D829D2E" w14:textId="6E9AC556" w:rsidR="00337D0C" w:rsidRDefault="00F1330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2724" w:history="1">
        <w:r w:rsidR="00337D0C" w:rsidRPr="003635A0">
          <w:rPr>
            <w:rStyle w:val="Hyperlink"/>
            <w:noProof/>
          </w:rPr>
          <w:t>Proposal 6</w:t>
        </w:r>
        <w:r w:rsidR="00337D0C">
          <w:rPr>
            <w:rFonts w:asciiTheme="minorHAnsi" w:eastAsiaTheme="minorEastAsia" w:hAnsiTheme="minorHAnsi" w:cstheme="minorBidi"/>
            <w:b w:val="0"/>
            <w:noProof/>
            <w:sz w:val="22"/>
            <w:szCs w:val="22"/>
            <w:lang w:val="sv-SE" w:eastAsia="sv-SE"/>
          </w:rPr>
          <w:tab/>
        </w:r>
        <w:r w:rsidR="00337D0C" w:rsidRPr="003635A0">
          <w:rPr>
            <w:rStyle w:val="Hyperlink"/>
            <w:noProof/>
          </w:rPr>
          <w:t>Define correlation distance parameters for the indoor industrial scenario to be able to apply the spatial consistency modelling of 38.901, including soft LOS transitions</w:t>
        </w:r>
      </w:hyperlink>
    </w:p>
    <w:p w14:paraId="76D4CD17" w14:textId="605B34AD" w:rsidR="00337D0C" w:rsidRDefault="00F1330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2725" w:history="1">
        <w:r w:rsidR="00337D0C" w:rsidRPr="003635A0">
          <w:rPr>
            <w:rStyle w:val="Hyperlink"/>
            <w:noProof/>
          </w:rPr>
          <w:t>Proposal 7</w:t>
        </w:r>
        <w:r w:rsidR="00337D0C">
          <w:rPr>
            <w:rFonts w:asciiTheme="minorHAnsi" w:eastAsiaTheme="minorEastAsia" w:hAnsiTheme="minorHAnsi" w:cstheme="minorBidi"/>
            <w:b w:val="0"/>
            <w:noProof/>
            <w:sz w:val="22"/>
            <w:szCs w:val="22"/>
            <w:lang w:val="sv-SE" w:eastAsia="sv-SE"/>
          </w:rPr>
          <w:tab/>
        </w:r>
        <w:r w:rsidR="00337D0C" w:rsidRPr="003635A0">
          <w:rPr>
            <w:rStyle w:val="Hyperlink"/>
            <w:noProof/>
            <w:lang w:val="en-US"/>
          </w:rPr>
          <w:t xml:space="preserve">Define </w:t>
        </w:r>
        <w:r w:rsidR="00337D0C" w:rsidRPr="003635A0">
          <w:rPr>
            <w:rStyle w:val="Hyperlink"/>
            <w:noProof/>
          </w:rPr>
          <w:t>one or more sets of recommended blocking parameters for objects found in an indoor industrial setting, such as industrial robots or AGVs.</w:t>
        </w:r>
      </w:hyperlink>
    </w:p>
    <w:p w14:paraId="5CCCF453" w14:textId="03BD86CF" w:rsidR="00337D0C" w:rsidRDefault="00F1330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2726" w:history="1">
        <w:r w:rsidR="00337D0C" w:rsidRPr="003635A0">
          <w:rPr>
            <w:rStyle w:val="Hyperlink"/>
            <w:noProof/>
          </w:rPr>
          <w:t>Proposal 8</w:t>
        </w:r>
        <w:r w:rsidR="00337D0C">
          <w:rPr>
            <w:rFonts w:asciiTheme="minorHAnsi" w:eastAsiaTheme="minorEastAsia" w:hAnsiTheme="minorHAnsi" w:cstheme="minorBidi"/>
            <w:b w:val="0"/>
            <w:noProof/>
            <w:sz w:val="22"/>
            <w:szCs w:val="22"/>
            <w:lang w:val="sv-SE" w:eastAsia="sv-SE"/>
          </w:rPr>
          <w:tab/>
        </w:r>
        <w:r w:rsidR="00337D0C" w:rsidRPr="003635A0">
          <w:rPr>
            <w:rStyle w:val="Hyperlink"/>
            <w:noProof/>
          </w:rPr>
          <w:t>Absolute time or arrival should be modelled by adding an additional delay to all MPCs</w:t>
        </w:r>
      </w:hyperlink>
    </w:p>
    <w:p w14:paraId="3DC5EF7E" w14:textId="4F1D151C" w:rsidR="00337D0C" w:rsidRDefault="00F1330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2727" w:history="1">
        <w:r w:rsidR="00337D0C" w:rsidRPr="003635A0">
          <w:rPr>
            <w:rStyle w:val="Hyperlink"/>
            <w:rFonts w:ascii="Symbol" w:hAnsi="Symbol"/>
            <w:noProof/>
          </w:rPr>
          <w:t></w:t>
        </w:r>
        <w:r w:rsidR="00337D0C">
          <w:rPr>
            <w:rFonts w:asciiTheme="minorHAnsi" w:eastAsiaTheme="minorEastAsia" w:hAnsiTheme="minorHAnsi" w:cstheme="minorBidi"/>
            <w:b w:val="0"/>
            <w:noProof/>
            <w:sz w:val="22"/>
            <w:szCs w:val="22"/>
            <w:lang w:val="sv-SE" w:eastAsia="sv-SE"/>
          </w:rPr>
          <w:tab/>
        </w:r>
        <w:r w:rsidR="00337D0C" w:rsidRPr="003635A0">
          <w:rPr>
            <w:rStyle w:val="Hyperlink"/>
            <w:noProof/>
          </w:rPr>
          <w:t xml:space="preserve">For LOS links, this additional delay should be </w:t>
        </w:r>
        <w:r w:rsidR="00337D0C" w:rsidRPr="003635A0">
          <w:rPr>
            <w:rStyle w:val="Hyperlink"/>
            <w:rFonts w:ascii="Symbol" w:hAnsi="Symbol"/>
            <w:noProof/>
          </w:rPr>
          <w:t></w:t>
        </w:r>
        <w:r w:rsidR="00337D0C" w:rsidRPr="003635A0">
          <w:rPr>
            <w:rStyle w:val="Hyperlink"/>
            <w:noProof/>
            <w:vertAlign w:val="subscript"/>
          </w:rPr>
          <w:t>0</w:t>
        </w:r>
        <w:r w:rsidR="00337D0C" w:rsidRPr="003635A0">
          <w:rPr>
            <w:rStyle w:val="Hyperlink"/>
            <w:noProof/>
          </w:rPr>
          <w:t>=d</w:t>
        </w:r>
        <w:r w:rsidR="00337D0C" w:rsidRPr="003635A0">
          <w:rPr>
            <w:rStyle w:val="Hyperlink"/>
            <w:noProof/>
            <w:vertAlign w:val="subscript"/>
          </w:rPr>
          <w:t>3D</w:t>
        </w:r>
        <w:r w:rsidR="00337D0C" w:rsidRPr="003635A0">
          <w:rPr>
            <w:rStyle w:val="Hyperlink"/>
            <w:noProof/>
          </w:rPr>
          <w:t>/c</w:t>
        </w:r>
      </w:hyperlink>
    </w:p>
    <w:p w14:paraId="6D81785B" w14:textId="3C7F19AE" w:rsidR="00337D0C" w:rsidRDefault="00F1330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2728" w:history="1">
        <w:r w:rsidR="00337D0C" w:rsidRPr="003635A0">
          <w:rPr>
            <w:rStyle w:val="Hyperlink"/>
            <w:rFonts w:ascii="Symbol" w:hAnsi="Symbol"/>
            <w:noProof/>
          </w:rPr>
          <w:t></w:t>
        </w:r>
        <w:r w:rsidR="00337D0C">
          <w:rPr>
            <w:rFonts w:asciiTheme="minorHAnsi" w:eastAsiaTheme="minorEastAsia" w:hAnsiTheme="minorHAnsi" w:cstheme="minorBidi"/>
            <w:b w:val="0"/>
            <w:noProof/>
            <w:sz w:val="22"/>
            <w:szCs w:val="22"/>
            <w:lang w:val="sv-SE" w:eastAsia="sv-SE"/>
          </w:rPr>
          <w:tab/>
        </w:r>
        <w:r w:rsidR="00337D0C" w:rsidRPr="003635A0">
          <w:rPr>
            <w:rStyle w:val="Hyperlink"/>
            <w:noProof/>
          </w:rPr>
          <w:t xml:space="preserve">For NLOS links, this additional delay should be </w:t>
        </w:r>
        <w:r w:rsidR="00337D0C" w:rsidRPr="003635A0">
          <w:rPr>
            <w:rStyle w:val="Hyperlink"/>
            <w:rFonts w:ascii="Symbol" w:hAnsi="Symbol"/>
            <w:noProof/>
          </w:rPr>
          <w:t></w:t>
        </w:r>
        <w:r w:rsidR="00337D0C" w:rsidRPr="003635A0">
          <w:rPr>
            <w:rStyle w:val="Hyperlink"/>
            <w:noProof/>
            <w:vertAlign w:val="subscript"/>
          </w:rPr>
          <w:t>0</w:t>
        </w:r>
        <w:r w:rsidR="00337D0C" w:rsidRPr="003635A0">
          <w:rPr>
            <w:rStyle w:val="Hyperlink"/>
            <w:noProof/>
          </w:rPr>
          <w:t>=d</w:t>
        </w:r>
        <w:r w:rsidR="00337D0C" w:rsidRPr="003635A0">
          <w:rPr>
            <w:rStyle w:val="Hyperlink"/>
            <w:noProof/>
            <w:vertAlign w:val="subscript"/>
          </w:rPr>
          <w:t>3D</w:t>
        </w:r>
        <w:r w:rsidR="00337D0C" w:rsidRPr="003635A0">
          <w:rPr>
            <w:rStyle w:val="Hyperlink"/>
            <w:noProof/>
          </w:rPr>
          <w:t>/c+</w:t>
        </w:r>
        <w:r w:rsidR="00337D0C" w:rsidRPr="003635A0">
          <w:rPr>
            <w:rStyle w:val="Hyperlink"/>
            <w:rFonts w:ascii="Symbol" w:hAnsi="Symbol"/>
            <w:noProof/>
          </w:rPr>
          <w:t></w:t>
        </w:r>
        <w:r w:rsidR="00337D0C" w:rsidRPr="003635A0">
          <w:rPr>
            <w:rStyle w:val="Hyperlink"/>
            <w:rFonts w:ascii="Symbol" w:hAnsi="Symbol"/>
            <w:noProof/>
          </w:rPr>
          <w:t></w:t>
        </w:r>
        <w:r w:rsidR="00337D0C" w:rsidRPr="003635A0">
          <w:rPr>
            <w:rStyle w:val="Hyperlink"/>
            <w:rFonts w:ascii="Symbol" w:hAnsi="Symbol"/>
            <w:noProof/>
          </w:rPr>
          <w:t></w:t>
        </w:r>
        <w:r w:rsidR="00337D0C" w:rsidRPr="003635A0">
          <w:rPr>
            <w:rStyle w:val="Hyperlink"/>
            <w:rFonts w:ascii="Symbol" w:hAnsi="Symbol"/>
            <w:noProof/>
          </w:rPr>
          <w:t></w:t>
        </w:r>
        <w:r w:rsidR="00337D0C" w:rsidRPr="003635A0">
          <w:rPr>
            <w:rStyle w:val="Hyperlink"/>
            <w:rFonts w:ascii="Symbol" w:hAnsi="Symbol"/>
            <w:noProof/>
          </w:rPr>
          <w:t></w:t>
        </w:r>
        <w:r w:rsidR="00337D0C" w:rsidRPr="003635A0">
          <w:rPr>
            <w:rStyle w:val="Hyperlink"/>
            <w:rFonts w:ascii="Symbol" w:hAnsi="Symbol"/>
            <w:noProof/>
          </w:rPr>
          <w:t></w:t>
        </w:r>
        <w:r w:rsidR="00337D0C" w:rsidRPr="003635A0">
          <w:rPr>
            <w:rStyle w:val="Hyperlink"/>
            <w:rFonts w:ascii="Symbol" w:hAnsi="Symbol"/>
            <w:noProof/>
          </w:rPr>
          <w:t></w:t>
        </w:r>
        <w:r w:rsidR="00337D0C" w:rsidRPr="003635A0">
          <w:rPr>
            <w:rStyle w:val="Hyperlink"/>
            <w:rFonts w:ascii="Symbol" w:hAnsi="Symbol"/>
            <w:noProof/>
          </w:rPr>
          <w:t></w:t>
        </w:r>
        <w:r w:rsidR="00337D0C" w:rsidRPr="003635A0">
          <w:rPr>
            <w:rStyle w:val="Hyperlink"/>
            <w:noProof/>
          </w:rPr>
          <w:t xml:space="preserve">, where the modeling of </w:t>
        </w:r>
        <w:r w:rsidR="00337D0C" w:rsidRPr="003635A0">
          <w:rPr>
            <w:rStyle w:val="Hyperlink"/>
            <w:rFonts w:ascii="Symbol" w:hAnsi="Symbol"/>
            <w:noProof/>
          </w:rPr>
          <w:t></w:t>
        </w:r>
        <w:r w:rsidR="00337D0C" w:rsidRPr="003635A0">
          <w:rPr>
            <w:rStyle w:val="Hyperlink"/>
            <w:rFonts w:ascii="Symbol" w:hAnsi="Symbol"/>
            <w:noProof/>
          </w:rPr>
          <w:t></w:t>
        </w:r>
        <w:r w:rsidR="00337D0C" w:rsidRPr="003635A0">
          <w:rPr>
            <w:rStyle w:val="Hyperlink"/>
            <w:rFonts w:ascii="Symbol" w:hAnsi="Symbol"/>
            <w:noProof/>
          </w:rPr>
          <w:t></w:t>
        </w:r>
        <w:r w:rsidR="00337D0C" w:rsidRPr="003635A0">
          <w:rPr>
            <w:rStyle w:val="Hyperlink"/>
            <w:noProof/>
          </w:rPr>
          <w:t>is FFS</w:t>
        </w:r>
      </w:hyperlink>
    </w:p>
    <w:p w14:paraId="1AF3351F" w14:textId="3BBA5D3B" w:rsidR="00337D0C" w:rsidRDefault="00F1330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2729" w:history="1">
        <w:r w:rsidR="00337D0C" w:rsidRPr="003635A0">
          <w:rPr>
            <w:rStyle w:val="Hyperlink"/>
            <w:noProof/>
          </w:rPr>
          <w:t>Proposal 9</w:t>
        </w:r>
        <w:r w:rsidR="00337D0C">
          <w:rPr>
            <w:rFonts w:asciiTheme="minorHAnsi" w:eastAsiaTheme="minorEastAsia" w:hAnsiTheme="minorHAnsi" w:cstheme="minorBidi"/>
            <w:b w:val="0"/>
            <w:noProof/>
            <w:sz w:val="22"/>
            <w:szCs w:val="22"/>
            <w:lang w:val="sv-SE" w:eastAsia="sv-SE"/>
          </w:rPr>
          <w:tab/>
        </w:r>
        <w:r w:rsidR="00337D0C" w:rsidRPr="003635A0">
          <w:rPr>
            <w:rStyle w:val="Hyperlink"/>
            <w:noProof/>
          </w:rPr>
          <w:t>Model propagation links between equipment causing EM interference and communication equipment using the same channel model as for communication links</w:t>
        </w:r>
      </w:hyperlink>
    </w:p>
    <w:p w14:paraId="7F4995B0" w14:textId="095D1F8E" w:rsidR="00337D0C" w:rsidRDefault="00F1330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2730" w:history="1">
        <w:r w:rsidR="00337D0C" w:rsidRPr="003635A0">
          <w:rPr>
            <w:rStyle w:val="Hyperlink"/>
            <w:rFonts w:ascii="Symbol" w:hAnsi="Symbol"/>
            <w:noProof/>
          </w:rPr>
          <w:t></w:t>
        </w:r>
        <w:r w:rsidR="00337D0C">
          <w:rPr>
            <w:rFonts w:asciiTheme="minorHAnsi" w:eastAsiaTheme="minorEastAsia" w:hAnsiTheme="minorHAnsi" w:cstheme="minorBidi"/>
            <w:b w:val="0"/>
            <w:noProof/>
            <w:sz w:val="22"/>
            <w:szCs w:val="22"/>
            <w:lang w:val="sv-SE" w:eastAsia="sv-SE"/>
          </w:rPr>
          <w:tab/>
        </w:r>
        <w:r w:rsidR="00337D0C" w:rsidRPr="003635A0">
          <w:rPr>
            <w:rStyle w:val="Hyperlink"/>
            <w:noProof/>
          </w:rPr>
          <w:t>Note: This may require a channel model for a D2D scenario where both transmitter and receiver are located below the average clutter height</w:t>
        </w:r>
      </w:hyperlink>
    </w:p>
    <w:p w14:paraId="4CE1F56F" w14:textId="09AB8C46" w:rsidR="006E1C82" w:rsidRPr="00CE0424" w:rsidRDefault="006E1C82" w:rsidP="006E1C82">
      <w:pPr>
        <w:pStyle w:val="BodyText"/>
        <w:rPr>
          <w:b/>
          <w:bCs/>
        </w:rPr>
      </w:pPr>
      <w:r>
        <w:rPr>
          <w:b/>
          <w:bCs/>
          <w:lang w:val="en-US"/>
        </w:rPr>
        <w:fldChar w:fldCharType="end"/>
      </w:r>
      <w:r w:rsidRPr="00CE0424">
        <w:rPr>
          <w:b/>
          <w:bCs/>
        </w:rPr>
        <w:t xml:space="preserve"> </w:t>
      </w:r>
    </w:p>
    <w:p w14:paraId="00614492" w14:textId="77777777" w:rsidR="00C01F33" w:rsidRPr="00CE0424" w:rsidRDefault="00C01F33" w:rsidP="006E062C"/>
    <w:p w14:paraId="2E9054E1" w14:textId="77777777" w:rsidR="00F507D1" w:rsidRPr="00CE0424" w:rsidRDefault="00F507D1" w:rsidP="00CE0424">
      <w:pPr>
        <w:pStyle w:val="Heading1"/>
      </w:pPr>
      <w:bookmarkStart w:id="19" w:name="_In-sequence_SDU_delivery"/>
      <w:bookmarkEnd w:id="19"/>
      <w:r w:rsidRPr="00CE0424">
        <w:t>References</w:t>
      </w:r>
    </w:p>
    <w:p w14:paraId="6C7B8841" w14:textId="62EEA049" w:rsidR="00F43D6C" w:rsidRDefault="00F43D6C" w:rsidP="00311702">
      <w:pPr>
        <w:pStyle w:val="Reference"/>
      </w:pPr>
      <w:bookmarkStart w:id="20" w:name="_Ref1133648"/>
      <w:bookmarkStart w:id="21" w:name="_Ref1044324"/>
      <w:bookmarkStart w:id="22" w:name="_Ref174151459"/>
      <w:bookmarkStart w:id="23" w:name="_Ref189809556"/>
      <w:r>
        <w:t>R1-1813129</w:t>
      </w:r>
      <w:r w:rsidR="00C62FF2">
        <w:t xml:space="preserve">, Views on scenario description, frequency bands of interest, and existing literature on channel measurements for the indoor industrial scenario, Ericsson, RAN1#95, </w:t>
      </w:r>
      <w:r w:rsidR="002B4961" w:rsidRPr="002B4961">
        <w:t>Spokane, USA, November 12th – 16th, 2018</w:t>
      </w:r>
      <w:r w:rsidR="002B4961">
        <w:t>.</w:t>
      </w:r>
      <w:bookmarkEnd w:id="20"/>
      <w:r w:rsidR="002B4961">
        <w:t xml:space="preserve"> </w:t>
      </w:r>
    </w:p>
    <w:p w14:paraId="2DAE9850" w14:textId="1464B0CE" w:rsidR="00296682" w:rsidRPr="007D5C73" w:rsidRDefault="000F23A1" w:rsidP="00311702">
      <w:pPr>
        <w:pStyle w:val="Reference"/>
      </w:pPr>
      <w:bookmarkStart w:id="24" w:name="_Ref1133675"/>
      <w:r>
        <w:t>R1-</w:t>
      </w:r>
      <w:r w:rsidRPr="007D5C73">
        <w:t>19</w:t>
      </w:r>
      <w:r w:rsidR="007D5C73">
        <w:t>03123</w:t>
      </w:r>
      <w:r w:rsidR="00C62FF2" w:rsidRPr="007D5C73">
        <w:t>,</w:t>
      </w:r>
      <w:r w:rsidRPr="007D5C73">
        <w:t xml:space="preserve"> Email discussion on frequency bands of interest, </w:t>
      </w:r>
      <w:r w:rsidR="001C5727" w:rsidRPr="007D5C73">
        <w:t>Ericsson, RAN1#96, Athens, Greece, February 25th – March 1st, 2019</w:t>
      </w:r>
      <w:r w:rsidR="00F43D6C" w:rsidRPr="007D5C73">
        <w:t>.</w:t>
      </w:r>
      <w:bookmarkEnd w:id="24"/>
    </w:p>
    <w:p w14:paraId="4CC8624D" w14:textId="622AB15F" w:rsidR="00296682" w:rsidRPr="007D5C73" w:rsidRDefault="00725FFF" w:rsidP="00311702">
      <w:pPr>
        <w:pStyle w:val="Reference"/>
      </w:pPr>
      <w:bookmarkStart w:id="25" w:name="_Ref1133677"/>
      <w:r w:rsidRPr="007D5C73">
        <w:t>R1-19</w:t>
      </w:r>
      <w:r w:rsidR="007D5C73">
        <w:t>03124,</w:t>
      </w:r>
      <w:r w:rsidRPr="007D5C73">
        <w:t xml:space="preserve"> Email discussion on measurements and observations, Ericsson, RAN1#96, Athens, Greece, February 25th – March 1st, 2019</w:t>
      </w:r>
      <w:r w:rsidR="00F43D6C" w:rsidRPr="007D5C73">
        <w:t>.</w:t>
      </w:r>
      <w:bookmarkEnd w:id="25"/>
    </w:p>
    <w:p w14:paraId="68777118" w14:textId="70562EB6" w:rsidR="00296682" w:rsidRDefault="00725FFF" w:rsidP="00311702">
      <w:pPr>
        <w:pStyle w:val="Reference"/>
      </w:pPr>
      <w:bookmarkStart w:id="26" w:name="_Ref1133679"/>
      <w:r w:rsidRPr="007D5C73">
        <w:t>R1-19</w:t>
      </w:r>
      <w:r w:rsidR="002B38EC">
        <w:t>03125</w:t>
      </w:r>
      <w:r w:rsidR="00C62FF2" w:rsidRPr="007D5C73">
        <w:t>,</w:t>
      </w:r>
      <w:r w:rsidRPr="007D5C73">
        <w:t xml:space="preserve"> Email discussion on scenario description, Ericsson, RAN1#96, Athens, Greece, February 25th – March 1st,</w:t>
      </w:r>
      <w:r w:rsidRPr="001C5727">
        <w:t xml:space="preserve"> 2019</w:t>
      </w:r>
      <w:r w:rsidR="00F43D6C">
        <w:t>.</w:t>
      </w:r>
      <w:bookmarkEnd w:id="26"/>
    </w:p>
    <w:p w14:paraId="20A1E2C5" w14:textId="3E6FF785" w:rsidR="00284A4F" w:rsidRDefault="00284A4F" w:rsidP="00311702">
      <w:pPr>
        <w:pStyle w:val="Reference"/>
      </w:pPr>
      <w:bookmarkStart w:id="27" w:name="_Ref1133708"/>
      <w:r>
        <w:t xml:space="preserve">D. </w:t>
      </w:r>
      <w:proofErr w:type="spellStart"/>
      <w:r>
        <w:t>Solomitckii</w:t>
      </w:r>
      <w:proofErr w:type="spellEnd"/>
      <w:r>
        <w:t xml:space="preserve">, A. Orsino, S. Andreev, Y. </w:t>
      </w:r>
      <w:proofErr w:type="spellStart"/>
      <w:r>
        <w:t>Koucheryavy</w:t>
      </w:r>
      <w:proofErr w:type="spellEnd"/>
      <w:r>
        <w:t xml:space="preserve"> and M. </w:t>
      </w:r>
      <w:proofErr w:type="spellStart"/>
      <w:r>
        <w:t>Valkama</w:t>
      </w:r>
      <w:proofErr w:type="spellEnd"/>
      <w:r>
        <w:t xml:space="preserve">, "Characterization of </w:t>
      </w:r>
      <w:proofErr w:type="spellStart"/>
      <w:r>
        <w:t>mmWave</w:t>
      </w:r>
      <w:proofErr w:type="spellEnd"/>
      <w:r>
        <w:t xml:space="preserve"> Channel Properties at 28 and 60 GHz in Factory Automation Deployments," </w:t>
      </w:r>
      <w:r>
        <w:rPr>
          <w:rStyle w:val="Emphasis"/>
        </w:rPr>
        <w:t>2018 IEEE Wireless Communications and Networking Conference (WCNC)</w:t>
      </w:r>
      <w:r>
        <w:t>, Barcelona, 2018, pp. 1-6.</w:t>
      </w:r>
      <w:bookmarkEnd w:id="21"/>
      <w:bookmarkEnd w:id="27"/>
    </w:p>
    <w:p w14:paraId="0EC95EF5" w14:textId="302F8163" w:rsidR="003A7EF3" w:rsidRPr="00CE0424" w:rsidRDefault="00153E1D" w:rsidP="00CE0424">
      <w:pPr>
        <w:pStyle w:val="Reference"/>
      </w:pPr>
      <w:bookmarkStart w:id="28" w:name="_Ref528923898"/>
      <w:r>
        <w:t xml:space="preserve">RP-181521, LS on Channel Model for Indoor Industrial Scenarios, 5G-ACIA, </w:t>
      </w:r>
      <w:r w:rsidRPr="00CE0424">
        <w:t xml:space="preserve">3GPP TSG-RAN </w:t>
      </w:r>
      <w:r>
        <w:t>Meeting #81</w:t>
      </w:r>
      <w:r w:rsidRPr="00CE0424">
        <w:t xml:space="preserve">, </w:t>
      </w:r>
      <w:r w:rsidRPr="00996BBF">
        <w:t>Gold Coast, Australia, September 10th – 13th 2018</w:t>
      </w:r>
      <w:r>
        <w:t>.</w:t>
      </w:r>
      <w:bookmarkEnd w:id="22"/>
      <w:bookmarkEnd w:id="23"/>
      <w:bookmarkEnd w:id="28"/>
    </w:p>
    <w:sectPr w:rsidR="003A7EF3"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9DE15" w14:textId="77777777" w:rsidR="00A15330" w:rsidRDefault="00A15330">
      <w:r>
        <w:separator/>
      </w:r>
    </w:p>
  </w:endnote>
  <w:endnote w:type="continuationSeparator" w:id="0">
    <w:p w14:paraId="0DA15695" w14:textId="77777777" w:rsidR="00A15330" w:rsidRDefault="00A15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04428" w14:textId="77777777" w:rsidR="00A15330" w:rsidRDefault="00A15330">
      <w:r>
        <w:separator/>
      </w:r>
    </w:p>
  </w:footnote>
  <w:footnote w:type="continuationSeparator" w:id="0">
    <w:p w14:paraId="4F14E80F" w14:textId="77777777" w:rsidR="00A15330" w:rsidRDefault="00A15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2FA88F80"/>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48C"/>
    <w:rsid w:val="000006E1"/>
    <w:rsid w:val="00000B84"/>
    <w:rsid w:val="000012AD"/>
    <w:rsid w:val="00002A37"/>
    <w:rsid w:val="0000564C"/>
    <w:rsid w:val="00005825"/>
    <w:rsid w:val="000062A9"/>
    <w:rsid w:val="00006446"/>
    <w:rsid w:val="00006896"/>
    <w:rsid w:val="00007CDC"/>
    <w:rsid w:val="00011B28"/>
    <w:rsid w:val="000148BA"/>
    <w:rsid w:val="00015D15"/>
    <w:rsid w:val="0002564D"/>
    <w:rsid w:val="00025ECA"/>
    <w:rsid w:val="000307E2"/>
    <w:rsid w:val="000325B8"/>
    <w:rsid w:val="00034C15"/>
    <w:rsid w:val="00036BA1"/>
    <w:rsid w:val="000422E2"/>
    <w:rsid w:val="00042F22"/>
    <w:rsid w:val="000440AB"/>
    <w:rsid w:val="000444EF"/>
    <w:rsid w:val="00044F46"/>
    <w:rsid w:val="00045C1B"/>
    <w:rsid w:val="00052A07"/>
    <w:rsid w:val="000534E3"/>
    <w:rsid w:val="0005606A"/>
    <w:rsid w:val="00056654"/>
    <w:rsid w:val="00056EFD"/>
    <w:rsid w:val="00057117"/>
    <w:rsid w:val="000616E7"/>
    <w:rsid w:val="0006487E"/>
    <w:rsid w:val="00065615"/>
    <w:rsid w:val="00065E1A"/>
    <w:rsid w:val="00065EA1"/>
    <w:rsid w:val="000661B8"/>
    <w:rsid w:val="000759C7"/>
    <w:rsid w:val="00077E5F"/>
    <w:rsid w:val="0008036A"/>
    <w:rsid w:val="00081AE6"/>
    <w:rsid w:val="0008387D"/>
    <w:rsid w:val="000855EB"/>
    <w:rsid w:val="00085B52"/>
    <w:rsid w:val="000866F2"/>
    <w:rsid w:val="00087C24"/>
    <w:rsid w:val="0009009F"/>
    <w:rsid w:val="00091557"/>
    <w:rsid w:val="000924C1"/>
    <w:rsid w:val="000924F0"/>
    <w:rsid w:val="00093474"/>
    <w:rsid w:val="0009510F"/>
    <w:rsid w:val="000952D2"/>
    <w:rsid w:val="000A1B7B"/>
    <w:rsid w:val="000A56F2"/>
    <w:rsid w:val="000B2006"/>
    <w:rsid w:val="000B2719"/>
    <w:rsid w:val="000B3A8F"/>
    <w:rsid w:val="000B4AB9"/>
    <w:rsid w:val="000B58C3"/>
    <w:rsid w:val="000B61E9"/>
    <w:rsid w:val="000C165A"/>
    <w:rsid w:val="000C2E19"/>
    <w:rsid w:val="000D0D07"/>
    <w:rsid w:val="000D1645"/>
    <w:rsid w:val="000D4416"/>
    <w:rsid w:val="000D4797"/>
    <w:rsid w:val="000E0527"/>
    <w:rsid w:val="000E1E92"/>
    <w:rsid w:val="000F06D6"/>
    <w:rsid w:val="000F0EB1"/>
    <w:rsid w:val="000F1106"/>
    <w:rsid w:val="000F23A1"/>
    <w:rsid w:val="000F3BE9"/>
    <w:rsid w:val="000F3F6C"/>
    <w:rsid w:val="000F6DF3"/>
    <w:rsid w:val="001005FF"/>
    <w:rsid w:val="001028D6"/>
    <w:rsid w:val="00105E04"/>
    <w:rsid w:val="001062FB"/>
    <w:rsid w:val="001063E6"/>
    <w:rsid w:val="00113CF4"/>
    <w:rsid w:val="001153EA"/>
    <w:rsid w:val="00115643"/>
    <w:rsid w:val="00116765"/>
    <w:rsid w:val="001219F5"/>
    <w:rsid w:val="00121A20"/>
    <w:rsid w:val="0012377F"/>
    <w:rsid w:val="00124314"/>
    <w:rsid w:val="00126B4A"/>
    <w:rsid w:val="0013208C"/>
    <w:rsid w:val="00132FD0"/>
    <w:rsid w:val="001344C0"/>
    <w:rsid w:val="00134599"/>
    <w:rsid w:val="001346FA"/>
    <w:rsid w:val="00135252"/>
    <w:rsid w:val="00137AB5"/>
    <w:rsid w:val="00137F0B"/>
    <w:rsid w:val="00141B88"/>
    <w:rsid w:val="00151E23"/>
    <w:rsid w:val="001526E0"/>
    <w:rsid w:val="00153E1D"/>
    <w:rsid w:val="001551B5"/>
    <w:rsid w:val="00160D02"/>
    <w:rsid w:val="001659C1"/>
    <w:rsid w:val="00171C6D"/>
    <w:rsid w:val="00172AAA"/>
    <w:rsid w:val="00173A8E"/>
    <w:rsid w:val="0017502C"/>
    <w:rsid w:val="00175EC4"/>
    <w:rsid w:val="00176692"/>
    <w:rsid w:val="0018143F"/>
    <w:rsid w:val="00181FF8"/>
    <w:rsid w:val="001848B5"/>
    <w:rsid w:val="001870CC"/>
    <w:rsid w:val="00187595"/>
    <w:rsid w:val="0019014E"/>
    <w:rsid w:val="00190AC1"/>
    <w:rsid w:val="00191A5C"/>
    <w:rsid w:val="0019341A"/>
    <w:rsid w:val="00197DF9"/>
    <w:rsid w:val="001A01BB"/>
    <w:rsid w:val="001A1987"/>
    <w:rsid w:val="001A2564"/>
    <w:rsid w:val="001A38A9"/>
    <w:rsid w:val="001A6173"/>
    <w:rsid w:val="001A647C"/>
    <w:rsid w:val="001A6CBA"/>
    <w:rsid w:val="001B02DA"/>
    <w:rsid w:val="001B0D97"/>
    <w:rsid w:val="001B5A5D"/>
    <w:rsid w:val="001C1CE5"/>
    <w:rsid w:val="001C3D2A"/>
    <w:rsid w:val="001C5727"/>
    <w:rsid w:val="001D51BA"/>
    <w:rsid w:val="001D53E7"/>
    <w:rsid w:val="001D6342"/>
    <w:rsid w:val="001D699B"/>
    <w:rsid w:val="001D6D53"/>
    <w:rsid w:val="001E4AB9"/>
    <w:rsid w:val="001E58E2"/>
    <w:rsid w:val="001E7AED"/>
    <w:rsid w:val="001F15FB"/>
    <w:rsid w:val="001F3245"/>
    <w:rsid w:val="001F3916"/>
    <w:rsid w:val="001F54C5"/>
    <w:rsid w:val="001F662C"/>
    <w:rsid w:val="001F7074"/>
    <w:rsid w:val="00200490"/>
    <w:rsid w:val="00201F3A"/>
    <w:rsid w:val="00203F96"/>
    <w:rsid w:val="00205264"/>
    <w:rsid w:val="00205AE7"/>
    <w:rsid w:val="002069B2"/>
    <w:rsid w:val="00207FA3"/>
    <w:rsid w:val="00214DA8"/>
    <w:rsid w:val="00215423"/>
    <w:rsid w:val="002158FA"/>
    <w:rsid w:val="00220600"/>
    <w:rsid w:val="002224DB"/>
    <w:rsid w:val="002225AD"/>
    <w:rsid w:val="00223FCB"/>
    <w:rsid w:val="002252C3"/>
    <w:rsid w:val="00225C54"/>
    <w:rsid w:val="00230765"/>
    <w:rsid w:val="00230D18"/>
    <w:rsid w:val="002319E4"/>
    <w:rsid w:val="00235632"/>
    <w:rsid w:val="00235872"/>
    <w:rsid w:val="00241559"/>
    <w:rsid w:val="00242ABD"/>
    <w:rsid w:val="002435B3"/>
    <w:rsid w:val="002458EB"/>
    <w:rsid w:val="00245C74"/>
    <w:rsid w:val="00246D63"/>
    <w:rsid w:val="002500C8"/>
    <w:rsid w:val="002550B9"/>
    <w:rsid w:val="00257543"/>
    <w:rsid w:val="002617E7"/>
    <w:rsid w:val="00264228"/>
    <w:rsid w:val="00264334"/>
    <w:rsid w:val="0026473A"/>
    <w:rsid w:val="0026473E"/>
    <w:rsid w:val="00266214"/>
    <w:rsid w:val="00267C83"/>
    <w:rsid w:val="0027144F"/>
    <w:rsid w:val="00271813"/>
    <w:rsid w:val="00271F3A"/>
    <w:rsid w:val="00273278"/>
    <w:rsid w:val="002737F4"/>
    <w:rsid w:val="002805F5"/>
    <w:rsid w:val="00280751"/>
    <w:rsid w:val="0028280A"/>
    <w:rsid w:val="00284A4F"/>
    <w:rsid w:val="00286ACD"/>
    <w:rsid w:val="00287838"/>
    <w:rsid w:val="002907B5"/>
    <w:rsid w:val="00292EB7"/>
    <w:rsid w:val="00295C33"/>
    <w:rsid w:val="00296227"/>
    <w:rsid w:val="00296682"/>
    <w:rsid w:val="00296F44"/>
    <w:rsid w:val="0029777D"/>
    <w:rsid w:val="002A055E"/>
    <w:rsid w:val="002A1165"/>
    <w:rsid w:val="002A1D4E"/>
    <w:rsid w:val="002A2869"/>
    <w:rsid w:val="002B24D6"/>
    <w:rsid w:val="002B38EC"/>
    <w:rsid w:val="002B4961"/>
    <w:rsid w:val="002C41E6"/>
    <w:rsid w:val="002D071A"/>
    <w:rsid w:val="002D34B2"/>
    <w:rsid w:val="002D48B0"/>
    <w:rsid w:val="002D5B37"/>
    <w:rsid w:val="002D7637"/>
    <w:rsid w:val="002E17F2"/>
    <w:rsid w:val="002E7CAE"/>
    <w:rsid w:val="002F0E33"/>
    <w:rsid w:val="002F2771"/>
    <w:rsid w:val="002F37A9"/>
    <w:rsid w:val="002F4BF8"/>
    <w:rsid w:val="002F7E09"/>
    <w:rsid w:val="00301CE6"/>
    <w:rsid w:val="0030228C"/>
    <w:rsid w:val="0030256B"/>
    <w:rsid w:val="0030501F"/>
    <w:rsid w:val="00307BA1"/>
    <w:rsid w:val="00311702"/>
    <w:rsid w:val="00311E82"/>
    <w:rsid w:val="0031354B"/>
    <w:rsid w:val="00313FD6"/>
    <w:rsid w:val="003143BD"/>
    <w:rsid w:val="00315363"/>
    <w:rsid w:val="003203ED"/>
    <w:rsid w:val="00322C9F"/>
    <w:rsid w:val="00324D23"/>
    <w:rsid w:val="0032595D"/>
    <w:rsid w:val="00331751"/>
    <w:rsid w:val="00334579"/>
    <w:rsid w:val="00335858"/>
    <w:rsid w:val="00336BDA"/>
    <w:rsid w:val="003378CA"/>
    <w:rsid w:val="00337D0C"/>
    <w:rsid w:val="00342BD7"/>
    <w:rsid w:val="00346DB5"/>
    <w:rsid w:val="003477B1"/>
    <w:rsid w:val="0035384F"/>
    <w:rsid w:val="00356910"/>
    <w:rsid w:val="00357380"/>
    <w:rsid w:val="003602D9"/>
    <w:rsid w:val="003604CE"/>
    <w:rsid w:val="00367CA3"/>
    <w:rsid w:val="00370E47"/>
    <w:rsid w:val="003727A9"/>
    <w:rsid w:val="003742AC"/>
    <w:rsid w:val="00377CE1"/>
    <w:rsid w:val="00385BF0"/>
    <w:rsid w:val="003874DA"/>
    <w:rsid w:val="00393077"/>
    <w:rsid w:val="003939FF"/>
    <w:rsid w:val="00393BCC"/>
    <w:rsid w:val="003A2223"/>
    <w:rsid w:val="003A2A0F"/>
    <w:rsid w:val="003A45A1"/>
    <w:rsid w:val="003A5B0A"/>
    <w:rsid w:val="003A6BAC"/>
    <w:rsid w:val="003A70A4"/>
    <w:rsid w:val="003A7EF3"/>
    <w:rsid w:val="003B159C"/>
    <w:rsid w:val="003B369F"/>
    <w:rsid w:val="003B36A3"/>
    <w:rsid w:val="003B4F30"/>
    <w:rsid w:val="003B64BB"/>
    <w:rsid w:val="003B7FE5"/>
    <w:rsid w:val="003C11C8"/>
    <w:rsid w:val="003C2702"/>
    <w:rsid w:val="003C7806"/>
    <w:rsid w:val="003D109F"/>
    <w:rsid w:val="003D2478"/>
    <w:rsid w:val="003D3C45"/>
    <w:rsid w:val="003D4589"/>
    <w:rsid w:val="003D4675"/>
    <w:rsid w:val="003D5B1F"/>
    <w:rsid w:val="003D71C1"/>
    <w:rsid w:val="003E15FA"/>
    <w:rsid w:val="003E55E4"/>
    <w:rsid w:val="003E74E3"/>
    <w:rsid w:val="003F05C7"/>
    <w:rsid w:val="003F2CD4"/>
    <w:rsid w:val="003F6BBE"/>
    <w:rsid w:val="004000E8"/>
    <w:rsid w:val="00402E2B"/>
    <w:rsid w:val="0040512B"/>
    <w:rsid w:val="00405CA5"/>
    <w:rsid w:val="00407CD3"/>
    <w:rsid w:val="00410134"/>
    <w:rsid w:val="0041037C"/>
    <w:rsid w:val="00410B72"/>
    <w:rsid w:val="00410F18"/>
    <w:rsid w:val="0041263E"/>
    <w:rsid w:val="00413AAC"/>
    <w:rsid w:val="00413E92"/>
    <w:rsid w:val="004174EA"/>
    <w:rsid w:val="00420A59"/>
    <w:rsid w:val="00421105"/>
    <w:rsid w:val="00422354"/>
    <w:rsid w:val="0042237B"/>
    <w:rsid w:val="00422AA4"/>
    <w:rsid w:val="004242F4"/>
    <w:rsid w:val="00427248"/>
    <w:rsid w:val="004279F4"/>
    <w:rsid w:val="00437447"/>
    <w:rsid w:val="00440011"/>
    <w:rsid w:val="00441A92"/>
    <w:rsid w:val="004431DC"/>
    <w:rsid w:val="00444F56"/>
    <w:rsid w:val="00446488"/>
    <w:rsid w:val="00447B13"/>
    <w:rsid w:val="004517AA"/>
    <w:rsid w:val="00452CAC"/>
    <w:rsid w:val="00457565"/>
    <w:rsid w:val="00457B71"/>
    <w:rsid w:val="00462C42"/>
    <w:rsid w:val="004669E2"/>
    <w:rsid w:val="00470C31"/>
    <w:rsid w:val="00471DE0"/>
    <w:rsid w:val="004734D0"/>
    <w:rsid w:val="0047556B"/>
    <w:rsid w:val="00477768"/>
    <w:rsid w:val="00480E6C"/>
    <w:rsid w:val="00483ED6"/>
    <w:rsid w:val="00492BC5"/>
    <w:rsid w:val="004964F1"/>
    <w:rsid w:val="00497986"/>
    <w:rsid w:val="004A16BC"/>
    <w:rsid w:val="004A1EA5"/>
    <w:rsid w:val="004A2B94"/>
    <w:rsid w:val="004B54A5"/>
    <w:rsid w:val="004B6F6A"/>
    <w:rsid w:val="004B7C0C"/>
    <w:rsid w:val="004C3898"/>
    <w:rsid w:val="004D36B1"/>
    <w:rsid w:val="004D7EBD"/>
    <w:rsid w:val="004E2680"/>
    <w:rsid w:val="004E28F9"/>
    <w:rsid w:val="004E462E"/>
    <w:rsid w:val="004E56DC"/>
    <w:rsid w:val="004E76F4"/>
    <w:rsid w:val="004F0B4E"/>
    <w:rsid w:val="004F0B6C"/>
    <w:rsid w:val="004F2078"/>
    <w:rsid w:val="004F3653"/>
    <w:rsid w:val="004F4210"/>
    <w:rsid w:val="004F4DA3"/>
    <w:rsid w:val="004F5916"/>
    <w:rsid w:val="00506557"/>
    <w:rsid w:val="0050677A"/>
    <w:rsid w:val="005108D8"/>
    <w:rsid w:val="005116F9"/>
    <w:rsid w:val="005153A7"/>
    <w:rsid w:val="00516978"/>
    <w:rsid w:val="00520208"/>
    <w:rsid w:val="005219CF"/>
    <w:rsid w:val="00534B59"/>
    <w:rsid w:val="00536759"/>
    <w:rsid w:val="00537C62"/>
    <w:rsid w:val="0054542F"/>
    <w:rsid w:val="00546970"/>
    <w:rsid w:val="00554E19"/>
    <w:rsid w:val="00557E7C"/>
    <w:rsid w:val="0056121F"/>
    <w:rsid w:val="00572141"/>
    <w:rsid w:val="005723E8"/>
    <w:rsid w:val="00572505"/>
    <w:rsid w:val="00580E32"/>
    <w:rsid w:val="00582809"/>
    <w:rsid w:val="00584F8F"/>
    <w:rsid w:val="0058798C"/>
    <w:rsid w:val="005900FA"/>
    <w:rsid w:val="005935A4"/>
    <w:rsid w:val="005948C2"/>
    <w:rsid w:val="00595DCA"/>
    <w:rsid w:val="005972B3"/>
    <w:rsid w:val="0059779B"/>
    <w:rsid w:val="005A1D93"/>
    <w:rsid w:val="005A209A"/>
    <w:rsid w:val="005A662D"/>
    <w:rsid w:val="005B1409"/>
    <w:rsid w:val="005B35D7"/>
    <w:rsid w:val="005B3846"/>
    <w:rsid w:val="005B392A"/>
    <w:rsid w:val="005B3AA3"/>
    <w:rsid w:val="005B6F83"/>
    <w:rsid w:val="005C1F3B"/>
    <w:rsid w:val="005C74FB"/>
    <w:rsid w:val="005D1602"/>
    <w:rsid w:val="005E1604"/>
    <w:rsid w:val="005E385F"/>
    <w:rsid w:val="005E5B81"/>
    <w:rsid w:val="005F2CB1"/>
    <w:rsid w:val="005F3025"/>
    <w:rsid w:val="005F618C"/>
    <w:rsid w:val="005F70BD"/>
    <w:rsid w:val="0060283C"/>
    <w:rsid w:val="00604F14"/>
    <w:rsid w:val="00605BA7"/>
    <w:rsid w:val="00611B83"/>
    <w:rsid w:val="00612C49"/>
    <w:rsid w:val="00613257"/>
    <w:rsid w:val="00620A71"/>
    <w:rsid w:val="00620D80"/>
    <w:rsid w:val="006234A6"/>
    <w:rsid w:val="006249BF"/>
    <w:rsid w:val="00630001"/>
    <w:rsid w:val="006311B3"/>
    <w:rsid w:val="00631D99"/>
    <w:rsid w:val="006322F5"/>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691"/>
    <w:rsid w:val="0066011D"/>
    <w:rsid w:val="006607C0"/>
    <w:rsid w:val="006613A6"/>
    <w:rsid w:val="006627A2"/>
    <w:rsid w:val="006634E6"/>
    <w:rsid w:val="006655EE"/>
    <w:rsid w:val="006667CE"/>
    <w:rsid w:val="00667EE7"/>
    <w:rsid w:val="00670922"/>
    <w:rsid w:val="00670BE1"/>
    <w:rsid w:val="0067218F"/>
    <w:rsid w:val="00672984"/>
    <w:rsid w:val="006741F2"/>
    <w:rsid w:val="00674CC3"/>
    <w:rsid w:val="00675C72"/>
    <w:rsid w:val="006771F9"/>
    <w:rsid w:val="006776D7"/>
    <w:rsid w:val="00681003"/>
    <w:rsid w:val="006817C9"/>
    <w:rsid w:val="00683ECE"/>
    <w:rsid w:val="00695FC2"/>
    <w:rsid w:val="00696949"/>
    <w:rsid w:val="00697052"/>
    <w:rsid w:val="006A46FB"/>
    <w:rsid w:val="006A488D"/>
    <w:rsid w:val="006A5E28"/>
    <w:rsid w:val="006A697B"/>
    <w:rsid w:val="006A7AFF"/>
    <w:rsid w:val="006B1816"/>
    <w:rsid w:val="006B2099"/>
    <w:rsid w:val="006B50CF"/>
    <w:rsid w:val="006C03B8"/>
    <w:rsid w:val="006C34A5"/>
    <w:rsid w:val="006C3C1B"/>
    <w:rsid w:val="006C5EC9"/>
    <w:rsid w:val="006C6059"/>
    <w:rsid w:val="006C7522"/>
    <w:rsid w:val="006D2C57"/>
    <w:rsid w:val="006D6F08"/>
    <w:rsid w:val="006E062C"/>
    <w:rsid w:val="006E1C82"/>
    <w:rsid w:val="006E28B7"/>
    <w:rsid w:val="006E2A9B"/>
    <w:rsid w:val="006E3310"/>
    <w:rsid w:val="006E4E39"/>
    <w:rsid w:val="006E565E"/>
    <w:rsid w:val="006E64C7"/>
    <w:rsid w:val="006E673D"/>
    <w:rsid w:val="006E7D3B"/>
    <w:rsid w:val="006F1B70"/>
    <w:rsid w:val="006F341D"/>
    <w:rsid w:val="006F3CDE"/>
    <w:rsid w:val="006F467F"/>
    <w:rsid w:val="006F58D4"/>
    <w:rsid w:val="006F6582"/>
    <w:rsid w:val="00700E80"/>
    <w:rsid w:val="0070346E"/>
    <w:rsid w:val="00704EDB"/>
    <w:rsid w:val="00706101"/>
    <w:rsid w:val="00707072"/>
    <w:rsid w:val="00707D61"/>
    <w:rsid w:val="00712287"/>
    <w:rsid w:val="00712772"/>
    <w:rsid w:val="007148D3"/>
    <w:rsid w:val="00715B9A"/>
    <w:rsid w:val="007257D0"/>
    <w:rsid w:val="00725FFF"/>
    <w:rsid w:val="00726EA6"/>
    <w:rsid w:val="00727208"/>
    <w:rsid w:val="00727680"/>
    <w:rsid w:val="007348B1"/>
    <w:rsid w:val="007362A6"/>
    <w:rsid w:val="00736D7D"/>
    <w:rsid w:val="00740E58"/>
    <w:rsid w:val="007445A0"/>
    <w:rsid w:val="0074524B"/>
    <w:rsid w:val="00746F5F"/>
    <w:rsid w:val="00747D8B"/>
    <w:rsid w:val="00751138"/>
    <w:rsid w:val="00751228"/>
    <w:rsid w:val="0075204F"/>
    <w:rsid w:val="007571E1"/>
    <w:rsid w:val="007604B2"/>
    <w:rsid w:val="00765281"/>
    <w:rsid w:val="00766BAD"/>
    <w:rsid w:val="007729A2"/>
    <w:rsid w:val="007755F2"/>
    <w:rsid w:val="00776971"/>
    <w:rsid w:val="00780A80"/>
    <w:rsid w:val="0078177E"/>
    <w:rsid w:val="0078304C"/>
    <w:rsid w:val="00783673"/>
    <w:rsid w:val="007848F5"/>
    <w:rsid w:val="00785490"/>
    <w:rsid w:val="0079102B"/>
    <w:rsid w:val="007925EA"/>
    <w:rsid w:val="00793ABD"/>
    <w:rsid w:val="00793CD8"/>
    <w:rsid w:val="00795C92"/>
    <w:rsid w:val="00796231"/>
    <w:rsid w:val="007A1CB3"/>
    <w:rsid w:val="007A306F"/>
    <w:rsid w:val="007A4049"/>
    <w:rsid w:val="007A43A6"/>
    <w:rsid w:val="007A58A6"/>
    <w:rsid w:val="007A58CD"/>
    <w:rsid w:val="007A6BA2"/>
    <w:rsid w:val="007B3D2D"/>
    <w:rsid w:val="007B50AE"/>
    <w:rsid w:val="007B51DF"/>
    <w:rsid w:val="007C05DD"/>
    <w:rsid w:val="007C3685"/>
    <w:rsid w:val="007C3D18"/>
    <w:rsid w:val="007C60BF"/>
    <w:rsid w:val="007C6A07"/>
    <w:rsid w:val="007C735C"/>
    <w:rsid w:val="007C75A1"/>
    <w:rsid w:val="007C77A5"/>
    <w:rsid w:val="007D04E5"/>
    <w:rsid w:val="007D07C9"/>
    <w:rsid w:val="007D5901"/>
    <w:rsid w:val="007D5C73"/>
    <w:rsid w:val="007D7526"/>
    <w:rsid w:val="007E0241"/>
    <w:rsid w:val="007E4610"/>
    <w:rsid w:val="007E4715"/>
    <w:rsid w:val="007E478A"/>
    <w:rsid w:val="007E505B"/>
    <w:rsid w:val="007E7091"/>
    <w:rsid w:val="007F36F7"/>
    <w:rsid w:val="00803FAE"/>
    <w:rsid w:val="0080605F"/>
    <w:rsid w:val="00807786"/>
    <w:rsid w:val="00807CF6"/>
    <w:rsid w:val="00811FCB"/>
    <w:rsid w:val="008158D6"/>
    <w:rsid w:val="00817196"/>
    <w:rsid w:val="00820ACB"/>
    <w:rsid w:val="008235DB"/>
    <w:rsid w:val="00824AB4"/>
    <w:rsid w:val="00825C42"/>
    <w:rsid w:val="00825D25"/>
    <w:rsid w:val="0082680F"/>
    <w:rsid w:val="00827D6F"/>
    <w:rsid w:val="008376AC"/>
    <w:rsid w:val="008444E8"/>
    <w:rsid w:val="00844E80"/>
    <w:rsid w:val="008461E0"/>
    <w:rsid w:val="00846FE7"/>
    <w:rsid w:val="00847735"/>
    <w:rsid w:val="00856911"/>
    <w:rsid w:val="00857BAC"/>
    <w:rsid w:val="00862237"/>
    <w:rsid w:val="00866652"/>
    <w:rsid w:val="008677FD"/>
    <w:rsid w:val="008706D4"/>
    <w:rsid w:val="00870F8A"/>
    <w:rsid w:val="008719A4"/>
    <w:rsid w:val="00871D23"/>
    <w:rsid w:val="0087381D"/>
    <w:rsid w:val="00874312"/>
    <w:rsid w:val="0087437C"/>
    <w:rsid w:val="00875CD7"/>
    <w:rsid w:val="00876B4D"/>
    <w:rsid w:val="008778F2"/>
    <w:rsid w:val="00877F18"/>
    <w:rsid w:val="008805BC"/>
    <w:rsid w:val="008873DC"/>
    <w:rsid w:val="008941E3"/>
    <w:rsid w:val="00894A88"/>
    <w:rsid w:val="00895386"/>
    <w:rsid w:val="00895C7A"/>
    <w:rsid w:val="008A21FF"/>
    <w:rsid w:val="008A2CE2"/>
    <w:rsid w:val="008A30AC"/>
    <w:rsid w:val="008A4446"/>
    <w:rsid w:val="008A44B8"/>
    <w:rsid w:val="008A51A8"/>
    <w:rsid w:val="008A54C7"/>
    <w:rsid w:val="008A77D8"/>
    <w:rsid w:val="008A7988"/>
    <w:rsid w:val="008B0483"/>
    <w:rsid w:val="008B120C"/>
    <w:rsid w:val="008B51A0"/>
    <w:rsid w:val="008B592A"/>
    <w:rsid w:val="008B7B5C"/>
    <w:rsid w:val="008C0C99"/>
    <w:rsid w:val="008C2017"/>
    <w:rsid w:val="008C4958"/>
    <w:rsid w:val="008C4BAA"/>
    <w:rsid w:val="008C6684"/>
    <w:rsid w:val="008C6AE8"/>
    <w:rsid w:val="008C7573"/>
    <w:rsid w:val="008D00A5"/>
    <w:rsid w:val="008D0B62"/>
    <w:rsid w:val="008D34F1"/>
    <w:rsid w:val="008D39D8"/>
    <w:rsid w:val="008D6D1A"/>
    <w:rsid w:val="008E065E"/>
    <w:rsid w:val="008E0927"/>
    <w:rsid w:val="008E1909"/>
    <w:rsid w:val="008E43C2"/>
    <w:rsid w:val="008F1C4E"/>
    <w:rsid w:val="008F1EAB"/>
    <w:rsid w:val="008F33DC"/>
    <w:rsid w:val="008F477F"/>
    <w:rsid w:val="00902350"/>
    <w:rsid w:val="0090336B"/>
    <w:rsid w:val="009053AA"/>
    <w:rsid w:val="00905440"/>
    <w:rsid w:val="00906939"/>
    <w:rsid w:val="00906FFD"/>
    <w:rsid w:val="00910B7D"/>
    <w:rsid w:val="009117A6"/>
    <w:rsid w:val="00911DFB"/>
    <w:rsid w:val="009139D9"/>
    <w:rsid w:val="00914AD8"/>
    <w:rsid w:val="00915BBE"/>
    <w:rsid w:val="00916079"/>
    <w:rsid w:val="00917CE9"/>
    <w:rsid w:val="00920BF2"/>
    <w:rsid w:val="00922010"/>
    <w:rsid w:val="00926D2B"/>
    <w:rsid w:val="00931BD9"/>
    <w:rsid w:val="009332CB"/>
    <w:rsid w:val="009368F3"/>
    <w:rsid w:val="00941636"/>
    <w:rsid w:val="00943742"/>
    <w:rsid w:val="00945C05"/>
    <w:rsid w:val="00946945"/>
    <w:rsid w:val="009469BC"/>
    <w:rsid w:val="00947713"/>
    <w:rsid w:val="00947928"/>
    <w:rsid w:val="00950DE7"/>
    <w:rsid w:val="0095234F"/>
    <w:rsid w:val="00953920"/>
    <w:rsid w:val="00953D47"/>
    <w:rsid w:val="0095681E"/>
    <w:rsid w:val="009572D4"/>
    <w:rsid w:val="00961921"/>
    <w:rsid w:val="0096430A"/>
    <w:rsid w:val="009646BD"/>
    <w:rsid w:val="0096554B"/>
    <w:rsid w:val="0096584A"/>
    <w:rsid w:val="00966B5C"/>
    <w:rsid w:val="00971F08"/>
    <w:rsid w:val="0097603D"/>
    <w:rsid w:val="00976949"/>
    <w:rsid w:val="00980477"/>
    <w:rsid w:val="00983049"/>
    <w:rsid w:val="00985253"/>
    <w:rsid w:val="009853B3"/>
    <w:rsid w:val="00990630"/>
    <w:rsid w:val="00991761"/>
    <w:rsid w:val="009944DB"/>
    <w:rsid w:val="00994DCA"/>
    <w:rsid w:val="009960EC"/>
    <w:rsid w:val="00996EF2"/>
    <w:rsid w:val="009970DD"/>
    <w:rsid w:val="009A0FBA"/>
    <w:rsid w:val="009A1601"/>
    <w:rsid w:val="009A1C74"/>
    <w:rsid w:val="009A3135"/>
    <w:rsid w:val="009A3BB6"/>
    <w:rsid w:val="009A459A"/>
    <w:rsid w:val="009A462D"/>
    <w:rsid w:val="009A5CBA"/>
    <w:rsid w:val="009B1F30"/>
    <w:rsid w:val="009B34FA"/>
    <w:rsid w:val="009B3AC2"/>
    <w:rsid w:val="009B4DF4"/>
    <w:rsid w:val="009B54AD"/>
    <w:rsid w:val="009B564E"/>
    <w:rsid w:val="009B7E87"/>
    <w:rsid w:val="009C0169"/>
    <w:rsid w:val="009C3A20"/>
    <w:rsid w:val="009C403E"/>
    <w:rsid w:val="009D4FF0"/>
    <w:rsid w:val="009D703C"/>
    <w:rsid w:val="009D718F"/>
    <w:rsid w:val="009E068F"/>
    <w:rsid w:val="009E14E0"/>
    <w:rsid w:val="009E35DB"/>
    <w:rsid w:val="009E47A3"/>
    <w:rsid w:val="009F08F3"/>
    <w:rsid w:val="009F344F"/>
    <w:rsid w:val="00A031D8"/>
    <w:rsid w:val="00A048A8"/>
    <w:rsid w:val="00A04F49"/>
    <w:rsid w:val="00A07CFE"/>
    <w:rsid w:val="00A13E54"/>
    <w:rsid w:val="00A15330"/>
    <w:rsid w:val="00A17882"/>
    <w:rsid w:val="00A17F63"/>
    <w:rsid w:val="00A2193B"/>
    <w:rsid w:val="00A2351A"/>
    <w:rsid w:val="00A25408"/>
    <w:rsid w:val="00A264A9"/>
    <w:rsid w:val="00A26DCF"/>
    <w:rsid w:val="00A27785"/>
    <w:rsid w:val="00A30187"/>
    <w:rsid w:val="00A3332D"/>
    <w:rsid w:val="00A3448A"/>
    <w:rsid w:val="00A36297"/>
    <w:rsid w:val="00A41E2B"/>
    <w:rsid w:val="00A45B74"/>
    <w:rsid w:val="00A47699"/>
    <w:rsid w:val="00A50F2E"/>
    <w:rsid w:val="00A52E1D"/>
    <w:rsid w:val="00A61499"/>
    <w:rsid w:val="00A62A77"/>
    <w:rsid w:val="00A63483"/>
    <w:rsid w:val="00A657D7"/>
    <w:rsid w:val="00A6588D"/>
    <w:rsid w:val="00A660AC"/>
    <w:rsid w:val="00A67E6C"/>
    <w:rsid w:val="00A71B99"/>
    <w:rsid w:val="00A739D0"/>
    <w:rsid w:val="00A761D4"/>
    <w:rsid w:val="00A77EC4"/>
    <w:rsid w:val="00A837BC"/>
    <w:rsid w:val="00A92879"/>
    <w:rsid w:val="00A9442A"/>
    <w:rsid w:val="00A96C94"/>
    <w:rsid w:val="00AA016F"/>
    <w:rsid w:val="00AA1A91"/>
    <w:rsid w:val="00AA1ED6"/>
    <w:rsid w:val="00AA51D6"/>
    <w:rsid w:val="00AB0BC8"/>
    <w:rsid w:val="00AB11CA"/>
    <w:rsid w:val="00AB14D9"/>
    <w:rsid w:val="00AB1586"/>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2DF5"/>
    <w:rsid w:val="00AF42D7"/>
    <w:rsid w:val="00AF71F1"/>
    <w:rsid w:val="00B006FE"/>
    <w:rsid w:val="00B007CB"/>
    <w:rsid w:val="00B02AA9"/>
    <w:rsid w:val="00B02FA3"/>
    <w:rsid w:val="00B05084"/>
    <w:rsid w:val="00B11828"/>
    <w:rsid w:val="00B12A72"/>
    <w:rsid w:val="00B14027"/>
    <w:rsid w:val="00B147D1"/>
    <w:rsid w:val="00B157F9"/>
    <w:rsid w:val="00B170E1"/>
    <w:rsid w:val="00B177D0"/>
    <w:rsid w:val="00B20256"/>
    <w:rsid w:val="00B20D09"/>
    <w:rsid w:val="00B2125A"/>
    <w:rsid w:val="00B24009"/>
    <w:rsid w:val="00B2763F"/>
    <w:rsid w:val="00B27AAC"/>
    <w:rsid w:val="00B30929"/>
    <w:rsid w:val="00B372AA"/>
    <w:rsid w:val="00B40445"/>
    <w:rsid w:val="00B409E0"/>
    <w:rsid w:val="00B41888"/>
    <w:rsid w:val="00B434AB"/>
    <w:rsid w:val="00B45A52"/>
    <w:rsid w:val="00B46175"/>
    <w:rsid w:val="00B533E8"/>
    <w:rsid w:val="00B53F0F"/>
    <w:rsid w:val="00B548B7"/>
    <w:rsid w:val="00B664C7"/>
    <w:rsid w:val="00B739F6"/>
    <w:rsid w:val="00B81A6C"/>
    <w:rsid w:val="00B85DE5"/>
    <w:rsid w:val="00B861AF"/>
    <w:rsid w:val="00B90F73"/>
    <w:rsid w:val="00B93B59"/>
    <w:rsid w:val="00B9406A"/>
    <w:rsid w:val="00BA2280"/>
    <w:rsid w:val="00BA2539"/>
    <w:rsid w:val="00BA2A08"/>
    <w:rsid w:val="00BA314F"/>
    <w:rsid w:val="00BA35ED"/>
    <w:rsid w:val="00BA56D2"/>
    <w:rsid w:val="00BA76E0"/>
    <w:rsid w:val="00BB2A25"/>
    <w:rsid w:val="00BB4211"/>
    <w:rsid w:val="00BB51E9"/>
    <w:rsid w:val="00BB5314"/>
    <w:rsid w:val="00BC0FDC"/>
    <w:rsid w:val="00BC3053"/>
    <w:rsid w:val="00BC4D2E"/>
    <w:rsid w:val="00BC68FC"/>
    <w:rsid w:val="00BD48AC"/>
    <w:rsid w:val="00BD5F1A"/>
    <w:rsid w:val="00BE1234"/>
    <w:rsid w:val="00BE2FA6"/>
    <w:rsid w:val="00BE333F"/>
    <w:rsid w:val="00BE46A0"/>
    <w:rsid w:val="00BE5F99"/>
    <w:rsid w:val="00BE7406"/>
    <w:rsid w:val="00BE7603"/>
    <w:rsid w:val="00BF3279"/>
    <w:rsid w:val="00BF74C7"/>
    <w:rsid w:val="00C015F1"/>
    <w:rsid w:val="00C01F33"/>
    <w:rsid w:val="00C02CC6"/>
    <w:rsid w:val="00C040F7"/>
    <w:rsid w:val="00C044AB"/>
    <w:rsid w:val="00C05706"/>
    <w:rsid w:val="00C07377"/>
    <w:rsid w:val="00C10478"/>
    <w:rsid w:val="00C11AB2"/>
    <w:rsid w:val="00C12107"/>
    <w:rsid w:val="00C14D4B"/>
    <w:rsid w:val="00C154BB"/>
    <w:rsid w:val="00C15E64"/>
    <w:rsid w:val="00C20FF2"/>
    <w:rsid w:val="00C275FE"/>
    <w:rsid w:val="00C279B5"/>
    <w:rsid w:val="00C27C45"/>
    <w:rsid w:val="00C3719D"/>
    <w:rsid w:val="00C37CB2"/>
    <w:rsid w:val="00C473A5"/>
    <w:rsid w:val="00C54995"/>
    <w:rsid w:val="00C54D41"/>
    <w:rsid w:val="00C5681C"/>
    <w:rsid w:val="00C60783"/>
    <w:rsid w:val="00C62FF2"/>
    <w:rsid w:val="00C64672"/>
    <w:rsid w:val="00C66E8C"/>
    <w:rsid w:val="00C70697"/>
    <w:rsid w:val="00C72093"/>
    <w:rsid w:val="00C72EF4"/>
    <w:rsid w:val="00C744FE"/>
    <w:rsid w:val="00C75D2F"/>
    <w:rsid w:val="00C767BE"/>
    <w:rsid w:val="00C76E3C"/>
    <w:rsid w:val="00C81568"/>
    <w:rsid w:val="00C81F66"/>
    <w:rsid w:val="00C9027A"/>
    <w:rsid w:val="00C9068E"/>
    <w:rsid w:val="00C9306D"/>
    <w:rsid w:val="00C93814"/>
    <w:rsid w:val="00C93C4B"/>
    <w:rsid w:val="00C944AB"/>
    <w:rsid w:val="00C95B40"/>
    <w:rsid w:val="00CA04E8"/>
    <w:rsid w:val="00CA1ED8"/>
    <w:rsid w:val="00CB1F63"/>
    <w:rsid w:val="00CB7170"/>
    <w:rsid w:val="00CB7EDC"/>
    <w:rsid w:val="00CC040E"/>
    <w:rsid w:val="00CC111F"/>
    <w:rsid w:val="00CC2011"/>
    <w:rsid w:val="00CC309A"/>
    <w:rsid w:val="00CC3EA0"/>
    <w:rsid w:val="00CC7043"/>
    <w:rsid w:val="00CC77C9"/>
    <w:rsid w:val="00CC7B45"/>
    <w:rsid w:val="00CD1188"/>
    <w:rsid w:val="00CD2ED1"/>
    <w:rsid w:val="00CD337B"/>
    <w:rsid w:val="00CE0424"/>
    <w:rsid w:val="00CE07FB"/>
    <w:rsid w:val="00CE217D"/>
    <w:rsid w:val="00CE7561"/>
    <w:rsid w:val="00CF1354"/>
    <w:rsid w:val="00CF3B1F"/>
    <w:rsid w:val="00CF3BF6"/>
    <w:rsid w:val="00CF625B"/>
    <w:rsid w:val="00CF687E"/>
    <w:rsid w:val="00D0349B"/>
    <w:rsid w:val="00D10249"/>
    <w:rsid w:val="00D115C3"/>
    <w:rsid w:val="00D11897"/>
    <w:rsid w:val="00D122EE"/>
    <w:rsid w:val="00D13135"/>
    <w:rsid w:val="00D13E4E"/>
    <w:rsid w:val="00D22EE3"/>
    <w:rsid w:val="00D233D6"/>
    <w:rsid w:val="00D239A7"/>
    <w:rsid w:val="00D23F47"/>
    <w:rsid w:val="00D36E71"/>
    <w:rsid w:val="00D37D87"/>
    <w:rsid w:val="00D40B33"/>
    <w:rsid w:val="00D4318F"/>
    <w:rsid w:val="00D438BF"/>
    <w:rsid w:val="00D440F8"/>
    <w:rsid w:val="00D546FF"/>
    <w:rsid w:val="00D55AD5"/>
    <w:rsid w:val="00D576CA"/>
    <w:rsid w:val="00D60098"/>
    <w:rsid w:val="00D61AF5"/>
    <w:rsid w:val="00D62A2B"/>
    <w:rsid w:val="00D652B5"/>
    <w:rsid w:val="00D66155"/>
    <w:rsid w:val="00D708B0"/>
    <w:rsid w:val="00D77B1D"/>
    <w:rsid w:val="00D77C2C"/>
    <w:rsid w:val="00D8021F"/>
    <w:rsid w:val="00D80383"/>
    <w:rsid w:val="00D81F79"/>
    <w:rsid w:val="00D823C6"/>
    <w:rsid w:val="00D82DEE"/>
    <w:rsid w:val="00D8327F"/>
    <w:rsid w:val="00D86CA3"/>
    <w:rsid w:val="00D871CE"/>
    <w:rsid w:val="00D9196D"/>
    <w:rsid w:val="00D92892"/>
    <w:rsid w:val="00D92982"/>
    <w:rsid w:val="00DA1E1E"/>
    <w:rsid w:val="00DA305E"/>
    <w:rsid w:val="00DA5417"/>
    <w:rsid w:val="00DA56E8"/>
    <w:rsid w:val="00DB0A9F"/>
    <w:rsid w:val="00DB377D"/>
    <w:rsid w:val="00DC2D36"/>
    <w:rsid w:val="00DC53EF"/>
    <w:rsid w:val="00DC7DD3"/>
    <w:rsid w:val="00DD0926"/>
    <w:rsid w:val="00DD200F"/>
    <w:rsid w:val="00DD6390"/>
    <w:rsid w:val="00DD712C"/>
    <w:rsid w:val="00DE09C8"/>
    <w:rsid w:val="00DE1BEE"/>
    <w:rsid w:val="00DE5608"/>
    <w:rsid w:val="00DE58D0"/>
    <w:rsid w:val="00DE654F"/>
    <w:rsid w:val="00DF0B6E"/>
    <w:rsid w:val="00DF15E0"/>
    <w:rsid w:val="00DF37A0"/>
    <w:rsid w:val="00E025FF"/>
    <w:rsid w:val="00E0338A"/>
    <w:rsid w:val="00E04703"/>
    <w:rsid w:val="00E110E7"/>
    <w:rsid w:val="00E11B20"/>
    <w:rsid w:val="00E17FA2"/>
    <w:rsid w:val="00E22330"/>
    <w:rsid w:val="00E30B5A"/>
    <w:rsid w:val="00E3123D"/>
    <w:rsid w:val="00E31461"/>
    <w:rsid w:val="00E31D43"/>
    <w:rsid w:val="00E32608"/>
    <w:rsid w:val="00E34188"/>
    <w:rsid w:val="00E34B6E"/>
    <w:rsid w:val="00E35559"/>
    <w:rsid w:val="00E3677A"/>
    <w:rsid w:val="00E3679B"/>
    <w:rsid w:val="00E3723A"/>
    <w:rsid w:val="00E37860"/>
    <w:rsid w:val="00E40AA3"/>
    <w:rsid w:val="00E446F1"/>
    <w:rsid w:val="00E46886"/>
    <w:rsid w:val="00E47AEF"/>
    <w:rsid w:val="00E53B75"/>
    <w:rsid w:val="00E54E3B"/>
    <w:rsid w:val="00E55EB9"/>
    <w:rsid w:val="00E5682A"/>
    <w:rsid w:val="00E57565"/>
    <w:rsid w:val="00E63838"/>
    <w:rsid w:val="00E64434"/>
    <w:rsid w:val="00E67C51"/>
    <w:rsid w:val="00E72EFC"/>
    <w:rsid w:val="00E758EC"/>
    <w:rsid w:val="00E765A6"/>
    <w:rsid w:val="00E80B2F"/>
    <w:rsid w:val="00E80F70"/>
    <w:rsid w:val="00E819F4"/>
    <w:rsid w:val="00E8234C"/>
    <w:rsid w:val="00E83AA9"/>
    <w:rsid w:val="00E85928"/>
    <w:rsid w:val="00E85C52"/>
    <w:rsid w:val="00E86D92"/>
    <w:rsid w:val="00E87822"/>
    <w:rsid w:val="00E90395"/>
    <w:rsid w:val="00E90E49"/>
    <w:rsid w:val="00E917F9"/>
    <w:rsid w:val="00E9205D"/>
    <w:rsid w:val="00E9291C"/>
    <w:rsid w:val="00E93FFE"/>
    <w:rsid w:val="00E94F8A"/>
    <w:rsid w:val="00EA0E33"/>
    <w:rsid w:val="00EA1409"/>
    <w:rsid w:val="00EA7A41"/>
    <w:rsid w:val="00EB077B"/>
    <w:rsid w:val="00EB324A"/>
    <w:rsid w:val="00EB4EA2"/>
    <w:rsid w:val="00EB5714"/>
    <w:rsid w:val="00EC051F"/>
    <w:rsid w:val="00EC24D5"/>
    <w:rsid w:val="00EC27C6"/>
    <w:rsid w:val="00EC4207"/>
    <w:rsid w:val="00EC4B30"/>
    <w:rsid w:val="00EC5653"/>
    <w:rsid w:val="00EC71CE"/>
    <w:rsid w:val="00ED1006"/>
    <w:rsid w:val="00EF18FE"/>
    <w:rsid w:val="00EF1910"/>
    <w:rsid w:val="00EF5787"/>
    <w:rsid w:val="00EF60D0"/>
    <w:rsid w:val="00F0508F"/>
    <w:rsid w:val="00F0528D"/>
    <w:rsid w:val="00F05A1E"/>
    <w:rsid w:val="00F06C67"/>
    <w:rsid w:val="00F06DFD"/>
    <w:rsid w:val="00F071D1"/>
    <w:rsid w:val="00F07533"/>
    <w:rsid w:val="00F0778C"/>
    <w:rsid w:val="00F10629"/>
    <w:rsid w:val="00F13308"/>
    <w:rsid w:val="00F15FA5"/>
    <w:rsid w:val="00F16A5C"/>
    <w:rsid w:val="00F209B7"/>
    <w:rsid w:val="00F2376F"/>
    <w:rsid w:val="00F243D8"/>
    <w:rsid w:val="00F26C4F"/>
    <w:rsid w:val="00F2700E"/>
    <w:rsid w:val="00F30007"/>
    <w:rsid w:val="00F30828"/>
    <w:rsid w:val="00F313D6"/>
    <w:rsid w:val="00F338EE"/>
    <w:rsid w:val="00F40F0C"/>
    <w:rsid w:val="00F43D6C"/>
    <w:rsid w:val="00F4766C"/>
    <w:rsid w:val="00F5060E"/>
    <w:rsid w:val="00F5073D"/>
    <w:rsid w:val="00F507D1"/>
    <w:rsid w:val="00F519CE"/>
    <w:rsid w:val="00F51ADA"/>
    <w:rsid w:val="00F60203"/>
    <w:rsid w:val="00F607C5"/>
    <w:rsid w:val="00F60DEA"/>
    <w:rsid w:val="00F6302A"/>
    <w:rsid w:val="00F63950"/>
    <w:rsid w:val="00F643F3"/>
    <w:rsid w:val="00F64C2B"/>
    <w:rsid w:val="00F651BE"/>
    <w:rsid w:val="00F65DFB"/>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70B2"/>
    <w:rsid w:val="00FB4C80"/>
    <w:rsid w:val="00FB6A6A"/>
    <w:rsid w:val="00FC7079"/>
    <w:rsid w:val="00FC7429"/>
    <w:rsid w:val="00FD07F6"/>
    <w:rsid w:val="00FD1EC8"/>
    <w:rsid w:val="00FD47ED"/>
    <w:rsid w:val="00FD74DB"/>
    <w:rsid w:val="00FD7660"/>
    <w:rsid w:val="00FE0655"/>
    <w:rsid w:val="00FE2365"/>
    <w:rsid w:val="00FE3662"/>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CBB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140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spacing w:after="0"/>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22"/>
      </w:numPr>
    </w:pPr>
  </w:style>
  <w:style w:type="paragraph" w:styleId="ListNumber">
    <w:name w:val="List Number"/>
    <w:basedOn w:val="List"/>
    <w:rsid w:val="00EA1409"/>
    <w:pPr>
      <w:numPr>
        <w:numId w:val="21"/>
      </w:numPr>
    </w:pPr>
    <w:rPr>
      <w:lang w:eastAsia="ja-JP"/>
    </w:r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spacing w:after="0"/>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17"/>
      </w:numPr>
    </w:pPr>
  </w:style>
  <w:style w:type="paragraph" w:styleId="ListBullet">
    <w:name w:val="List Bullet"/>
    <w:basedOn w:val="List"/>
    <w:rsid w:val="00EA1409"/>
    <w:pPr>
      <w:numPr>
        <w:numId w:val="16"/>
      </w:numPr>
    </w:pPr>
    <w:rPr>
      <w:lang w:eastAsia="ja-JP"/>
    </w:rPr>
  </w:style>
  <w:style w:type="paragraph" w:styleId="ListBullet3">
    <w:name w:val="List Bullet 3"/>
    <w:basedOn w:val="ListBullet2"/>
    <w:rsid w:val="00EA1409"/>
    <w:pPr>
      <w:numPr>
        <w:numId w:val="1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rPr>
      <w:lang w:eastAsia="ja-JP"/>
    </w:r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19"/>
      </w:numPr>
    </w:pPr>
  </w:style>
  <w:style w:type="paragraph" w:styleId="ListBullet5">
    <w:name w:val="List Bullet 5"/>
    <w:basedOn w:val="ListBullet4"/>
    <w:rsid w:val="00EA1409"/>
    <w:pPr>
      <w:numPr>
        <w:numId w:val="20"/>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2"/>
      </w:numPr>
    </w:pPr>
  </w:style>
  <w:style w:type="paragraph" w:styleId="BalloonText">
    <w:name w:val="Balloon Text"/>
    <w:basedOn w:val="Normal"/>
    <w:link w:val="BalloonTextChar"/>
    <w:rsid w:val="00EA1409"/>
    <w:pPr>
      <w:spacing w:after="0"/>
    </w:pPr>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jc w:val="both"/>
    </w:pPr>
    <w:rPr>
      <w:rFonts w:ascii="Arial" w:hAnsi="Arial"/>
      <w:lang w:eastAsia="zh-CN"/>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3"/>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pPr>
      <w:spacing w:after="0"/>
    </w:pPr>
  </w:style>
  <w:style w:type="paragraph" w:customStyle="1" w:styleId="TAL">
    <w:name w:val="TAL"/>
    <w:basedOn w:val="Normal"/>
    <w:link w:val="TALCar"/>
    <w:rsid w:val="00EA1409"/>
    <w:pPr>
      <w:keepNext/>
      <w:keepLines/>
      <w:spacing w:after="0"/>
    </w:pPr>
    <w:rPr>
      <w:rFonts w:ascii="Arial" w:hAnsi="Arial"/>
      <w:sz w:val="18"/>
      <w:lang w:val="x-none" w:eastAsia="x-none"/>
    </w:rPr>
  </w:style>
  <w:style w:type="paragraph" w:customStyle="1" w:styleId="TAC">
    <w:name w:val="TAC"/>
    <w:basedOn w:val="TAL"/>
    <w:link w:val="TACChar"/>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pPr>
      <w:spacing w:after="0"/>
    </w:pPr>
  </w:style>
  <w:style w:type="paragraph" w:customStyle="1" w:styleId="Observation">
    <w:name w:val="Observation"/>
    <w:basedOn w:val="Proposal"/>
    <w:qFormat/>
    <w:rsid w:val="00EA1409"/>
    <w:pPr>
      <w:numPr>
        <w:numId w:val="13"/>
      </w:numPr>
      <w:ind w:left="1701" w:hanging="1701"/>
    </w:pPr>
    <w:rPr>
      <w:lang w:eastAsia="ja-JP"/>
    </w:rPr>
  </w:style>
  <w:style w:type="paragraph" w:styleId="TableofFigures">
    <w:name w:val="table of figures"/>
    <w:basedOn w:val="BodyText"/>
    <w:next w:val="Normal"/>
    <w:uiPriority w:val="99"/>
    <w:rsid w:val="00EA1409"/>
    <w:pPr>
      <w:ind w:left="1701" w:hanging="1701"/>
      <w:jc w:val="left"/>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14"/>
      </w:numPr>
      <w:spacing w:before="40" w:after="0"/>
    </w:pPr>
    <w:rPr>
      <w:rFonts w:ascii="Arial" w:eastAsia="MS Mincho" w:hAnsi="Arial"/>
      <w:b/>
      <w:szCs w:val="24"/>
      <w:lang w:eastAsia="en-GB"/>
    </w:rPr>
  </w:style>
  <w:style w:type="character" w:styleId="Emphasis">
    <w:name w:val="Emphasis"/>
    <w:uiPriority w:val="20"/>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140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A1409"/>
    <w:rPr>
      <w:rFonts w:ascii="Calibri" w:eastAsia="Calibri" w:hAnsi="Calibri"/>
      <w:sz w:val="22"/>
      <w:szCs w:val="22"/>
      <w:lang w:val="x-none" w:eastAsia="en-US"/>
    </w:rPr>
  </w:style>
  <w:style w:type="paragraph" w:customStyle="1" w:styleId="NF">
    <w:name w:val="NF"/>
    <w:basedOn w:val="NO"/>
    <w:rsid w:val="00EA1409"/>
    <w:pPr>
      <w:keepNext/>
      <w:spacing w:after="0"/>
    </w:pPr>
    <w:rPr>
      <w:rFonts w:ascii="Arial" w:hAnsi="Arial"/>
      <w:sz w:val="18"/>
    </w:rPr>
  </w:style>
  <w:style w:type="paragraph" w:customStyle="1" w:styleId="NW">
    <w:name w:val="NW"/>
    <w:basedOn w:val="NO"/>
    <w:rsid w:val="00EA1409"/>
    <w:pPr>
      <w:spacing w:after="0"/>
    </w:pPr>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8D0B62"/>
    <w:rPr>
      <w:rFonts w:ascii="Times New Roman" w:hAnsi="Times New Roman"/>
      <w:b/>
    </w:rPr>
  </w:style>
  <w:style w:type="table" w:styleId="GridTable4">
    <w:name w:val="Grid Table 4"/>
    <w:basedOn w:val="TableNormal"/>
    <w:uiPriority w:val="49"/>
    <w:rsid w:val="008D0B62"/>
    <w:rPr>
      <w:rFonts w:ascii="Times New Roman" w:hAnsi="Times New Roman"/>
      <w:lang w:val="en-US"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locked/>
    <w:rsid w:val="00065EA1"/>
    <w:rPr>
      <w:rFonts w:ascii="Arial" w:hAnsi="Arial"/>
      <w:sz w:val="18"/>
      <w:lang w:val="x-none" w:eastAsia="x-none"/>
    </w:rPr>
  </w:style>
  <w:style w:type="character" w:styleId="PlaceholderText">
    <w:name w:val="Placeholder Text"/>
    <w:basedOn w:val="DefaultParagraphFont"/>
    <w:uiPriority w:val="99"/>
    <w:semiHidden/>
    <w:rsid w:val="002647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DEFDC-CEF9-4FC4-9A5E-3EB474209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2230</Words>
  <Characters>13160</Characters>
  <Application>Microsoft Office Word</Application>
  <DocSecurity>0</DocSecurity>
  <Lines>109</Lines>
  <Paragraphs>30</Paragraphs>
  <ScaleCrop>false</ScaleCrop>
  <Company/>
  <LinksUpToDate>false</LinksUpToDate>
  <CharactersWithSpaces>15360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2019-02-15T18:54:00Z</dcterms:created>
  <dcterms:modified xsi:type="dcterms:W3CDTF">2019-02-15T18:54:00Z</dcterms:modified>
  <cp:category/>
</cp:coreProperties>
</file>